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61DA" w:rsidP="004F07B0" w:rsidRDefault="006C4D5A" w14:paraId="55E44E71" w14:textId="67EFDEEA">
      <w:pPr>
        <w:pStyle w:val="Styl1"/>
      </w:pPr>
      <w:bookmarkStart w:name="_Toc214571333" w:id="0"/>
      <w:r w:rsidRPr="006C4D5A">
        <w:t>Wielowymiarowa analiza porównawcza rozwoju zrównoważonego w krajach Europy Środkowo-Wschodniej (2015 vs 2023)</w:t>
      </w:r>
      <w:bookmarkEnd w:id="0"/>
    </w:p>
    <w:sdt>
      <w:sdtPr>
        <w:id w:val="445200424"/>
        <w:docPartObj>
          <w:docPartGallery w:val="Table of Contents"/>
          <w:docPartUnique/>
        </w:docPartObj>
      </w:sdtPr>
      <w:sdtEndPr>
        <w:rPr>
          <w:rFonts w:ascii="Aptos" w:hAnsi="Aptos" w:eastAsia="游ゴシック" w:cs="" w:asciiTheme="minorAscii" w:hAnsiTheme="minorAscii" w:eastAsiaTheme="minorEastAsia" w:cstheme="minorBidi"/>
          <w:b w:val="1"/>
          <w:bCs w:val="1"/>
          <w:color w:val="auto"/>
          <w:kern w:val="2"/>
          <w:sz w:val="24"/>
          <w:szCs w:val="24"/>
          <w14:ligatures w14:val="standardContextual"/>
        </w:rPr>
      </w:sdtEndPr>
      <w:sdtContent>
        <w:p w:rsidR="004F07B0" w:rsidRDefault="004F07B0" w14:paraId="415AF522" w14:textId="1B79086A">
          <w:pPr>
            <w:pStyle w:val="Nagwekspisutreci"/>
          </w:pPr>
          <w:r>
            <w:t>Spis treści</w:t>
          </w:r>
        </w:p>
        <w:p w:rsidR="004F07B0" w:rsidRDefault="004F07B0" w14:paraId="3F85E923" w14:textId="48476B83">
          <w:pPr>
            <w:pStyle w:val="Spistreci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4571333">
            <w:r w:rsidRPr="00010582">
              <w:rPr>
                <w:rStyle w:val="Hipercze"/>
                <w:noProof/>
              </w:rPr>
              <w:t>Wielowymiarowa analiza porównawcza rozwoju zrównoważonego w krajach Europy Środkowo-Wschodniej (2015 vs 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0F4DC20E" w14:textId="188E5081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history="1" w:anchor="_Toc214571334">
            <w:r w:rsidRPr="00010582">
              <w:rPr>
                <w:rStyle w:val="Hipercze"/>
                <w:noProof/>
              </w:rPr>
              <w:t>1. Cel i zakres badania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351A3A80" w14:textId="42267758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history="1" w:anchor="_Toc214571335">
            <w:r w:rsidRPr="00010582">
              <w:rPr>
                <w:rStyle w:val="Hipercze"/>
                <w:noProof/>
              </w:rPr>
              <w:t>2. Baza danych i charakterystyka zmiennych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4A4308CE" w14:textId="6EC95918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history="1" w:anchor="_Toc214571336">
            <w:r w:rsidRPr="00010582">
              <w:rPr>
                <w:rStyle w:val="Hipercze"/>
                <w:noProof/>
              </w:rPr>
              <w:t>3. Wstępna analiza danych (Uzasadnienie doboru cech)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08B5AB8B" w14:textId="6F73D569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history="1" w:anchor="_Toc214571337">
            <w:r w:rsidRPr="00010582">
              <w:rPr>
                <w:rStyle w:val="Hipercze"/>
                <w:noProof/>
              </w:rPr>
              <w:t>4. Metodyka badań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3C82ABC5" w14:textId="292456FA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history="1" w:anchor="_Toc214571338">
            <w:r w:rsidRPr="00010582">
              <w:rPr>
                <w:rStyle w:val="Hipercze"/>
                <w:noProof/>
              </w:rPr>
              <w:t>4.1. Stymulacja i Normalizacja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7C0467D9" w14:textId="3AA410FF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history="1" w:anchor="_Toc214571339">
            <w:r w:rsidRPr="00010582">
              <w:rPr>
                <w:rStyle w:val="Hipercze"/>
                <w:noProof/>
              </w:rPr>
              <w:t>4.2. Systemy Wag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5010F461" w14:textId="2A704838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history="1" w:anchor="_Toc214571340">
            <w:r w:rsidRPr="00010582">
              <w:rPr>
                <w:rStyle w:val="Hipercze"/>
                <w:noProof/>
              </w:rPr>
              <w:t>4.3. Konstrukcja wskaźników i Grupowanie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357C1384" w14:textId="073077AF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history="1" w:anchor="_Toc214571341">
            <w:r w:rsidRPr="00010582">
              <w:rPr>
                <w:rStyle w:val="Hipercze"/>
                <w:noProof/>
              </w:rPr>
              <w:t>5. Wyniki analizy i wybór rankingu reprezentatywnego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74058677" w14:textId="73BC9E3D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history="1" w:anchor="_Toc214571342">
            <w:r w:rsidRPr="00010582">
              <w:rPr>
                <w:rStyle w:val="Hipercze"/>
                <w:noProof/>
              </w:rPr>
              <w:t>5.1. Analiza wrażliwości i wybór metody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1304896E" w14:textId="3C27EFF3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history="1" w:anchor="_Toc214571343">
            <w:r w:rsidRPr="00010582">
              <w:rPr>
                <w:rStyle w:val="Hipercze"/>
                <w:noProof/>
              </w:rPr>
              <w:t>5.2. Liderzy i zmiany w czasie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301900BA" w14:textId="50E2EDD7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history="1" w:anchor="_Toc214571344">
            <w:r w:rsidRPr="00010582">
              <w:rPr>
                <w:rStyle w:val="Hipercze"/>
                <w:noProof/>
              </w:rPr>
              <w:t>6. Wizualizacja i Raport graficzny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4A3DA926" w14:textId="0BD91975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history="1" w:anchor="_Toc214571345">
            <w:r w:rsidRPr="00010582">
              <w:rPr>
                <w:rStyle w:val="Hipercze"/>
                <w:noProof/>
              </w:rPr>
              <w:t>7. 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7B0" w:rsidRDefault="004F07B0" w14:paraId="597AF284" w14:textId="3A8EFEE1">
          <w:r>
            <w:rPr>
              <w:b/>
              <w:bCs/>
            </w:rPr>
            <w:fldChar w:fldCharType="end"/>
          </w:r>
        </w:p>
      </w:sdtContent>
    </w:sdt>
    <w:p w:rsidR="004F07B0" w:rsidP="004F07B0" w:rsidRDefault="004F07B0" w14:paraId="0755B49C" w14:textId="77777777">
      <w:pPr>
        <w:pStyle w:val="Styl3"/>
      </w:pPr>
    </w:p>
    <w:p w:rsidR="006C4D5A" w:rsidP="006C4D5A" w:rsidRDefault="006C4D5A" w14:paraId="52BD41C3" w14:textId="7D0B3004">
      <w:r w:rsidRPr="006C4D5A">
        <w:rPr>
          <w:b/>
          <w:bCs/>
        </w:rPr>
        <w:t>Autor projektu:</w:t>
      </w:r>
      <w:r w:rsidRPr="006C4D5A">
        <w:t xml:space="preserve"> </w:t>
      </w:r>
      <w:r>
        <w:t>Emanuel Wierzchowski</w:t>
      </w:r>
    </w:p>
    <w:p w:rsidR="006C4D5A" w:rsidP="006C4D5A" w:rsidRDefault="006C4D5A" w14:paraId="33E88513" w14:textId="6EFFBD5C">
      <w:r w:rsidRPr="006C4D5A">
        <w:rPr>
          <w:b/>
          <w:bCs/>
        </w:rPr>
        <w:t>Numer albumu</w:t>
      </w:r>
      <w:r>
        <w:t>: 223393</w:t>
      </w:r>
      <w:r>
        <w:br/>
      </w:r>
    </w:p>
    <w:p w:rsidRPr="006C4D5A" w:rsidR="006C4D5A" w:rsidP="006C4D5A" w:rsidRDefault="006C4D5A" w14:paraId="669FAF25" w14:textId="77777777"/>
    <w:p w:rsidRPr="004F07B0" w:rsidR="006C4D5A" w:rsidP="004F07B0" w:rsidRDefault="006C4D5A" w14:paraId="425E8236" w14:textId="77777777">
      <w:pPr>
        <w:pStyle w:val="Styl2"/>
      </w:pPr>
      <w:bookmarkStart w:name="_Toc214571334" w:id="1"/>
      <w:r w:rsidRPr="004F07B0">
        <w:t>1. Cel i zakres badania</w:t>
      </w:r>
      <w:bookmarkEnd w:id="1"/>
    </w:p>
    <w:p w:rsidRPr="006C4D5A" w:rsidR="006C4D5A" w:rsidP="006C4D5A" w:rsidRDefault="006C4D5A" w14:paraId="3EB619D9" w14:textId="4CDFE7C7">
      <w:r w:rsidRPr="006C4D5A">
        <w:t xml:space="preserve">Głównym celem projektu jest </w:t>
      </w:r>
      <w:r w:rsidRPr="006C4D5A">
        <w:rPr>
          <w:b/>
          <w:bCs/>
        </w:rPr>
        <w:t>porządkowanie liniowe oraz klasyfikacja (grupowanie)</w:t>
      </w:r>
      <w:r w:rsidRPr="006C4D5A">
        <w:t xml:space="preserve"> 11 państw Europy Środkowo-Wschodniej (CEE) pod względem poziomu zrównoważonego rozwoju (SDG – </w:t>
      </w:r>
      <w:proofErr w:type="spellStart"/>
      <w:r w:rsidRPr="006C4D5A">
        <w:t>Sustainable</w:t>
      </w:r>
      <w:proofErr w:type="spellEnd"/>
      <w:r w:rsidRPr="006C4D5A">
        <w:t xml:space="preserve"> Development </w:t>
      </w:r>
      <w:proofErr w:type="spellStart"/>
      <w:r w:rsidRPr="006C4D5A">
        <w:t>Goals</w:t>
      </w:r>
      <w:proofErr w:type="spellEnd"/>
      <w:r w:rsidRPr="006C4D5A">
        <w:t xml:space="preserve">). Analiza ma charakter </w:t>
      </w:r>
      <w:r w:rsidRPr="006C4D5A">
        <w:rPr>
          <w:b/>
          <w:bCs/>
        </w:rPr>
        <w:t>dynamiczny</w:t>
      </w:r>
      <w:r w:rsidRPr="006C4D5A">
        <w:t xml:space="preserve"> – porównuje stan z roku 2015 (początek Agendy 2030) ze stanem z roku 2023, co pozwala ocenić postępy poszczególnych krajów oraz zmiany w ich wzajemnych relacjach.</w:t>
      </w:r>
      <w:r>
        <w:br/>
      </w:r>
      <w:hyperlink w:history="1" r:id="rId6">
        <w:r w:rsidRPr="002F731E">
          <w:rPr>
            <w:rFonts w:ascii="Aptos" w:hAnsi="Aptos" w:eastAsia="MS Mincho" w:cs="Times New Roman"/>
            <w:color w:val="467886"/>
            <w:kern w:val="0"/>
            <w:u w:val="single"/>
            <w:lang w:eastAsia="en-US"/>
            <w14:ligatures w14:val="none"/>
          </w:rPr>
          <w:t>https://ec.europa.eu/eurostat/web/sdi/database</w:t>
        </w:r>
      </w:hyperlink>
    </w:p>
    <w:p w:rsidRPr="006C4D5A" w:rsidR="006C4D5A" w:rsidP="006C4D5A" w:rsidRDefault="006C4D5A" w14:paraId="6B0A7791" w14:textId="77777777">
      <w:r w:rsidRPr="006C4D5A">
        <w:rPr>
          <w:b/>
          <w:bCs/>
        </w:rPr>
        <w:lastRenderedPageBreak/>
        <w:t>Zbiór obiektów (11 państw):</w:t>
      </w:r>
      <w:r w:rsidRPr="006C4D5A">
        <w:t xml:space="preserve"> Bułgaria, Chorwacja, Czechy, Estonia, Litwa, Łotwa, Polska, Rumunia, Słowacja, Słowenia, Węgry.</w:t>
      </w:r>
    </w:p>
    <w:p w:rsidRPr="004F07B0" w:rsidR="006C4D5A" w:rsidP="004F07B0" w:rsidRDefault="006C4D5A" w14:paraId="3FED0313" w14:textId="77777777">
      <w:pPr>
        <w:pStyle w:val="Styl2"/>
      </w:pPr>
      <w:bookmarkStart w:name="_Toc214571335" w:id="2"/>
      <w:r w:rsidRPr="004F07B0">
        <w:t>2. Baza danych i charakterystyka zmiennych</w:t>
      </w:r>
      <w:bookmarkEnd w:id="2"/>
    </w:p>
    <w:p w:rsidRPr="006C4D5A" w:rsidR="006C4D5A" w:rsidP="006C4D5A" w:rsidRDefault="006C4D5A" w14:paraId="029BB644" w14:textId="77777777">
      <w:r w:rsidRPr="006C4D5A">
        <w:t xml:space="preserve">Dane wejściowe pozyskano z oficjalnej bazy </w:t>
      </w:r>
      <w:r w:rsidRPr="006C4D5A">
        <w:rPr>
          <w:b/>
          <w:bCs/>
        </w:rPr>
        <w:t>Eurostat</w:t>
      </w:r>
      <w:r w:rsidRPr="006C4D5A">
        <w:t xml:space="preserve"> (moduł </w:t>
      </w:r>
      <w:proofErr w:type="spellStart"/>
      <w:r w:rsidRPr="006C4D5A">
        <w:rPr>
          <w:i/>
          <w:iCs/>
        </w:rPr>
        <w:t>Sustainable</w:t>
      </w:r>
      <w:proofErr w:type="spellEnd"/>
      <w:r w:rsidRPr="006C4D5A">
        <w:rPr>
          <w:i/>
          <w:iCs/>
        </w:rPr>
        <w:t xml:space="preserve"> Development </w:t>
      </w:r>
      <w:proofErr w:type="spellStart"/>
      <w:r w:rsidRPr="006C4D5A">
        <w:rPr>
          <w:i/>
          <w:iCs/>
        </w:rPr>
        <w:t>Indicators</w:t>
      </w:r>
      <w:proofErr w:type="spellEnd"/>
      <w:r w:rsidRPr="006C4D5A">
        <w:t xml:space="preserve">). Zgromadzono kompletne dane dla dwóch okresów sprawozdawczych: </w:t>
      </w:r>
      <w:r w:rsidRPr="006C4D5A">
        <w:rPr>
          <w:b/>
          <w:bCs/>
        </w:rPr>
        <w:t>2015</w:t>
      </w:r>
      <w:r w:rsidRPr="006C4D5A">
        <w:t xml:space="preserve"> oraz </w:t>
      </w:r>
      <w:r w:rsidRPr="006C4D5A">
        <w:rPr>
          <w:b/>
          <w:bCs/>
        </w:rPr>
        <w:t>2023</w:t>
      </w:r>
      <w:r w:rsidRPr="006C4D5A">
        <w:t>.</w:t>
      </w:r>
    </w:p>
    <w:p w:rsidRPr="006C4D5A" w:rsidR="006C4D5A" w:rsidP="006C4D5A" w:rsidRDefault="006C4D5A" w14:paraId="2AABF152" w14:textId="77777777">
      <w:r w:rsidRPr="006C4D5A">
        <w:t xml:space="preserve">Do konstrukcji wskaźnika syntetycznego wybrano </w:t>
      </w:r>
      <w:r w:rsidRPr="006C4D5A">
        <w:rPr>
          <w:b/>
          <w:bCs/>
        </w:rPr>
        <w:t>8 zmiennych diagnostycznych</w:t>
      </w:r>
      <w:r w:rsidRPr="006C4D5A">
        <w:t>, które merytorycznie opisują kluczowe aspekty rozwoju (ekonomia, społeczeństwo, środowisko, innowacje). Wszystkie zmienne mają charakter wskaźników intensywności (%, lata, PPS), co umożliwia porównywanie krajów o różnej wielkości.</w:t>
      </w:r>
    </w:p>
    <w:p w:rsidRPr="006C4D5A" w:rsidR="006C4D5A" w:rsidP="006C4D5A" w:rsidRDefault="006C4D5A" w14:paraId="2155AD7C" w14:textId="77777777">
      <w:r w:rsidRPr="006C4D5A">
        <w:rPr>
          <w:b/>
          <w:bCs/>
        </w:rPr>
        <w:t>Zestaw zmiennych i ich charakter:</w:t>
      </w:r>
    </w:p>
    <w:p w:rsidRPr="00B430F1" w:rsidR="006C4D5A" w:rsidP="006C4D5A" w:rsidRDefault="006C4D5A" w14:paraId="6830E850" w14:textId="77777777">
      <w:pPr>
        <w:numPr>
          <w:ilvl w:val="0"/>
          <w:numId w:val="2"/>
        </w:numPr>
      </w:pPr>
      <w:r w:rsidRPr="00B430F1">
        <w:rPr>
          <w:b/>
          <w:bCs/>
        </w:rPr>
        <w:t>Stymulanty (wzrost pożądany):</w:t>
      </w:r>
    </w:p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6"/>
      </w:tblGrid>
      <w:tr w:rsidRPr="002F567A" w:rsidR="006C4D5A" w:rsidTr="00BD3588" w14:paraId="13326238" w14:textId="77777777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4A0EEA" w:rsidR="006C4D5A" w:rsidP="006C4D5A" w:rsidRDefault="006C4D5A" w14:paraId="374D2259" w14:textId="77777777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X1 – PKB na mieszkańca wg standardu siły nabywczej (PPS) Im wyższa wartość, tym wyższa zamożność społeczeństwa i siła gospodarki, skorygowana o lokalne różnice w cenach.</w:t>
            </w:r>
          </w:p>
          <w:p w:rsidRPr="002F567A" w:rsidR="006C4D5A" w:rsidP="00BD3588" w:rsidRDefault="006C4D5A" w14:paraId="252B8F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</w:tr>
      <w:tr w:rsidRPr="002F567A" w:rsidR="006C4D5A" w:rsidTr="00BD3588" w14:paraId="5CD53A8E" w14:textId="77777777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4A0EEA" w:rsidR="006C4D5A" w:rsidP="006C4D5A" w:rsidRDefault="006C4D5A" w14:paraId="0EEEB771" w14:textId="77777777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X2 – Oczekiwana długość życia w momencie urodzenia (Lata) Im wyższa długość życia, tym lepszy ogólny poziom zdrowia społeczeństwa, jakość opieki medycznej i warunków życia.</w:t>
            </w:r>
          </w:p>
          <w:p w:rsidRPr="002F567A" w:rsidR="006C4D5A" w:rsidP="00BD3588" w:rsidRDefault="006C4D5A" w14:paraId="77002D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</w:tr>
      <w:tr w:rsidRPr="002F567A" w:rsidR="006C4D5A" w:rsidTr="00BD3588" w14:paraId="5F9E668D" w14:textId="77777777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4A0EEA" w:rsidR="006C4D5A" w:rsidP="006C4D5A" w:rsidRDefault="006C4D5A" w14:paraId="7B3443E8" w14:textId="77777777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X3 – Nakłady na badania i rozwój (GERD) (% PKB) Wyższy poziom wydatków na B+R sprzyja innowacjom, konkurencyjności gospodarki i budowaniu gospodarki opartej na wiedzy.</w:t>
            </w:r>
          </w:p>
          <w:p w:rsidRPr="002F567A" w:rsidR="006C4D5A" w:rsidP="00BD3588" w:rsidRDefault="006C4D5A" w14:paraId="1F1E11D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</w:tr>
      <w:tr w:rsidRPr="002F567A" w:rsidR="006C4D5A" w:rsidTr="00BD3588" w14:paraId="2203BCBD" w14:textId="77777777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4A0EEA" w:rsidR="006C4D5A" w:rsidP="006C4D5A" w:rsidRDefault="006C4D5A" w14:paraId="5AD11114" w14:textId="77777777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X4 – Odsetek osób z wyższym wykształceniem (%) Wysoki udział osób z wyższym wykształceniem sprzyja wzrostowi kapitału ludzkiego i potencjału innowacyjnego kraju.</w:t>
            </w:r>
          </w:p>
          <w:p w:rsidRPr="002F567A" w:rsidR="006C4D5A" w:rsidP="00BD3588" w:rsidRDefault="006C4D5A" w14:paraId="21890EA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</w:tr>
      <w:tr w:rsidRPr="002F567A" w:rsidR="006C4D5A" w:rsidTr="00BD3588" w14:paraId="6F270FCE" w14:textId="77777777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4A0EEA" w:rsidR="006C4D5A" w:rsidP="006C4D5A" w:rsidRDefault="006C4D5A" w14:paraId="046C6E9D" w14:textId="77777777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X5 – High-</w:t>
            </w:r>
            <w:proofErr w:type="spellStart"/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tech</w:t>
            </w:r>
            <w:proofErr w:type="spellEnd"/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exports</w:t>
            </w:r>
            <w:proofErr w:type="spellEnd"/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 xml:space="preserve"> (%) – więcej eksportu wysokich technologii świadczy o lepszym stanie gospodarczym i materialnym</w:t>
            </w:r>
          </w:p>
          <w:p w:rsidRPr="002F567A" w:rsidR="006C4D5A" w:rsidP="00BD3588" w:rsidRDefault="006C4D5A" w14:paraId="4EDC293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</w:tr>
    </w:tbl>
    <w:p w:rsidRPr="00B430F1" w:rsidR="006C4D5A" w:rsidP="006C4D5A" w:rsidRDefault="006C4D5A" w14:paraId="48963B56" w14:textId="77777777">
      <w:pPr>
        <w:numPr>
          <w:ilvl w:val="0"/>
          <w:numId w:val="2"/>
        </w:numPr>
      </w:pPr>
      <w:proofErr w:type="spellStart"/>
      <w:r w:rsidRPr="00B430F1">
        <w:rPr>
          <w:b/>
          <w:bCs/>
        </w:rPr>
        <w:t>Destymulanty</w:t>
      </w:r>
      <w:proofErr w:type="spellEnd"/>
      <w:r w:rsidRPr="00B430F1">
        <w:rPr>
          <w:b/>
          <w:bCs/>
        </w:rPr>
        <w:t xml:space="preserve"> (spadek pożądany):</w:t>
      </w:r>
    </w:p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6"/>
      </w:tblGrid>
      <w:tr w:rsidRPr="002F567A" w:rsidR="006C4D5A" w:rsidTr="00BD3588" w14:paraId="601FB85B" w14:textId="77777777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4A0EEA" w:rsidR="006C4D5A" w:rsidP="006C4D5A" w:rsidRDefault="006C4D5A" w14:paraId="466F227E" w14:textId="77777777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bookmarkStart w:name="_Toc214474938" w:id="3"/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X6 – Zharmonizowana stopa bezrobocia (%) Im niższy odsetek, tym lepsza sytuacja na rynku pracy i mniejsze problemy społeczne związane z brakiem zatrudnienia.</w:t>
            </w:r>
          </w:p>
          <w:p w:rsidRPr="002F567A" w:rsidR="006C4D5A" w:rsidP="00BD3588" w:rsidRDefault="006C4D5A" w14:paraId="308B03D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</w:tr>
      <w:tr w:rsidRPr="002F567A" w:rsidR="006C4D5A" w:rsidTr="00BD3588" w14:paraId="4ECBBC6C" w14:textId="77777777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4A0EEA" w:rsidR="006C4D5A" w:rsidP="006C4D5A" w:rsidRDefault="006C4D5A" w14:paraId="3BF0660F" w14:textId="77777777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X7 – Zagrożenie ubóstwem lub wykluczeniem społecznym (AROPE) (%) Im mniejszy odsetek, tym wyższy poziom spójności społecznej, mniejsze nierówności i lepsza jakość życia obywateli.</w:t>
            </w:r>
          </w:p>
          <w:p w:rsidRPr="002F567A" w:rsidR="006C4D5A" w:rsidP="00BD3588" w:rsidRDefault="006C4D5A" w14:paraId="10880F9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</w:tr>
      <w:tr w:rsidRPr="002F567A" w:rsidR="006C4D5A" w:rsidTr="00BD3588" w14:paraId="4F52CFF8" w14:textId="77777777">
        <w:trPr>
          <w:trHeight w:val="315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4A0EEA" w:rsidR="006C4D5A" w:rsidP="006C4D5A" w:rsidRDefault="006C4D5A" w14:paraId="79085286" w14:textId="77777777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4A0EEA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X8 – Emisje gazów cieplarnianych na mieszkańca – mniejsze emisje to lepsza jakość powietrza oraz zanieczyszczenie środowiska</w:t>
            </w:r>
          </w:p>
        </w:tc>
      </w:tr>
    </w:tbl>
    <w:p w:rsidRPr="00B430F1" w:rsidR="006C4D5A" w:rsidP="004F07B0" w:rsidRDefault="006C4D5A" w14:paraId="37014F83" w14:textId="77777777">
      <w:pPr>
        <w:pStyle w:val="Styl2"/>
      </w:pPr>
      <w:bookmarkStart w:name="_Toc214571336" w:id="4"/>
      <w:r w:rsidRPr="00B430F1">
        <w:t>3. Wstępna analiza danych (Uzasadnienie doboru cech)</w:t>
      </w:r>
      <w:bookmarkEnd w:id="3"/>
      <w:bookmarkEnd w:id="4"/>
    </w:p>
    <w:p w:rsidR="006C4D5A" w:rsidP="006C4D5A" w:rsidRDefault="006C4D5A" w14:paraId="216263B8" w14:textId="77777777">
      <w:pPr>
        <w:rPr>
          <w:b/>
          <w:bCs/>
        </w:rPr>
      </w:pPr>
    </w:p>
    <w:p w:rsidRPr="006C4D5A" w:rsidR="006C4D5A" w:rsidP="006C4D5A" w:rsidRDefault="006C4D5A" w14:paraId="21553BAC" w14:textId="54963454">
      <w:r w:rsidRPr="006C4D5A">
        <w:t>Przed przystąpieniem do budowy rankingu przeprowadzono weryfikację statystyczną danych dla połączonego zbioru czasowego:</w:t>
      </w:r>
    </w:p>
    <w:p w:rsidRPr="006C4D5A" w:rsidR="006C4D5A" w:rsidP="006C4D5A" w:rsidRDefault="006C4D5A" w14:paraId="5DDF07AE" w14:textId="77777777">
      <w:pPr>
        <w:numPr>
          <w:ilvl w:val="0"/>
          <w:numId w:val="3"/>
        </w:numPr>
      </w:pPr>
      <w:r w:rsidRPr="006C4D5A">
        <w:rPr>
          <w:b/>
          <w:bCs/>
        </w:rPr>
        <w:t>Analiza zmienności:</w:t>
      </w:r>
      <w:r w:rsidRPr="006C4D5A">
        <w:t xml:space="preserve"> Sprawdzono współczynniki zmienności (V). Zmienna </w:t>
      </w:r>
      <w:r w:rsidRPr="006C4D5A">
        <w:rPr>
          <w:b/>
          <w:bCs/>
        </w:rPr>
        <w:t>X2 (Długość życia)</w:t>
      </w:r>
      <w:r w:rsidRPr="006C4D5A">
        <w:t xml:space="preserve"> wykazała niską zmienność (quasi-stała, V &lt; 10%), jednak ze względu na fundamentalne znaczenie merytoryczne dla oceny jakości życia, podjęto decyzję o jej </w:t>
      </w:r>
      <w:r w:rsidRPr="006C4D5A">
        <w:rPr>
          <w:b/>
          <w:bCs/>
        </w:rPr>
        <w:t>pozostawieniu</w:t>
      </w:r>
      <w:r w:rsidRPr="006C4D5A">
        <w:t xml:space="preserve"> w zbiorze.</w:t>
      </w:r>
    </w:p>
    <w:p w:rsidR="006C4D5A" w:rsidP="006C4D5A" w:rsidRDefault="006C4D5A" w14:paraId="5B10863F" w14:textId="2901DAE1">
      <w:pPr>
        <w:numPr>
          <w:ilvl w:val="0"/>
          <w:numId w:val="3"/>
        </w:numPr>
        <w:rPr/>
      </w:pPr>
      <w:r w:rsidRPr="35C67F4A" w:rsidR="006C4D5A">
        <w:rPr>
          <w:b w:val="1"/>
          <w:bCs w:val="1"/>
        </w:rPr>
        <w:t>Detekcja elementów nietypowych (</w:t>
      </w:r>
      <w:r w:rsidRPr="35C67F4A" w:rsidR="006C4D5A">
        <w:rPr>
          <w:b w:val="1"/>
          <w:bCs w:val="1"/>
        </w:rPr>
        <w:t>Outliers</w:t>
      </w:r>
      <w:r w:rsidRPr="35C67F4A" w:rsidR="006C4D5A">
        <w:rPr>
          <w:b w:val="1"/>
          <w:bCs w:val="1"/>
        </w:rPr>
        <w:t>):</w:t>
      </w:r>
      <w:r w:rsidR="006C4D5A">
        <w:rPr/>
        <w:t xml:space="preserve"> Zastosowano metodę rozstępu ćwiartkowego (IQR). Zidentyfikowano wartości odstające (np. dla zmiennej X6 w Czechach). Aby uniknąć zniekształcenia normalizacji, zastosowano tzw. </w:t>
      </w:r>
      <w:r w:rsidRPr="35C67F4A" w:rsidR="006C4D5A">
        <w:rPr>
          <w:b w:val="1"/>
          <w:bCs w:val="1"/>
        </w:rPr>
        <w:t>winsoryzację</w:t>
      </w:r>
      <w:r w:rsidR="006C4D5A">
        <w:rPr/>
        <w:t xml:space="preserve"> (zastąpienie wartości skrajnych wartościami wąsów dolnych/górnych) dla całego badanego okresu.</w:t>
      </w:r>
    </w:p>
    <w:p w:rsidR="3C1CBF2D" w:rsidP="35C67F4A" w:rsidRDefault="3C1CBF2D" w14:paraId="2D0ED8CD" w14:textId="67E3E18D">
      <w:pPr>
        <w:numPr>
          <w:ilvl w:val="0"/>
          <w:numId w:val="3"/>
        </w:numPr>
        <w:rPr/>
      </w:pPr>
      <w:r w:rsidR="3C1CBF2D">
        <w:rPr/>
        <w:t>Ze względu na komplet danych nie było potrzeby ich uzupełnienia np. średnią</w:t>
      </w:r>
    </w:p>
    <w:p w:rsidR="006C4D5A" w:rsidP="004F07B0" w:rsidRDefault="006C4D5A" w14:paraId="1B97C8BA" w14:textId="77777777">
      <w:pPr>
        <w:pStyle w:val="Styl2"/>
      </w:pPr>
      <w:bookmarkStart w:name="_Toc214571337" w:id="5"/>
      <w:r>
        <w:t>4. Metodyka badań</w:t>
      </w:r>
      <w:bookmarkEnd w:id="5"/>
    </w:p>
    <w:p w:rsidR="006C4D5A" w:rsidP="006C4D5A" w:rsidRDefault="006C4D5A" w14:paraId="161A4E91" w14:textId="28FC368D">
      <w:r>
        <w:t>Zastosowano procedurę zapewniającą pełną porównywalność wyników w czasie (dynamiczna analiza porównawcza).</w:t>
      </w:r>
    </w:p>
    <w:p w:rsidR="006C4D5A" w:rsidP="006C4D5A" w:rsidRDefault="006C4D5A" w14:paraId="2CE9F3DB" w14:textId="77777777"/>
    <w:p w:rsidRPr="006C4D5A" w:rsidR="006C4D5A" w:rsidP="004F07B0" w:rsidRDefault="006C4D5A" w14:paraId="5EA11987" w14:textId="77777777">
      <w:pPr>
        <w:pStyle w:val="Styl2"/>
      </w:pPr>
      <w:bookmarkStart w:name="_Toc214571338" w:id="6"/>
      <w:r w:rsidRPr="006C4D5A">
        <w:t>4.1. Stymulacja i Normalizacja</w:t>
      </w:r>
      <w:bookmarkEnd w:id="6"/>
    </w:p>
    <w:p w:rsidRPr="006C4D5A" w:rsidR="006C4D5A" w:rsidP="006C4D5A" w:rsidRDefault="006C4D5A" w14:paraId="655D3FFC" w14:textId="77777777">
      <w:r w:rsidRPr="006C4D5A">
        <w:t>Przed normalizacją dokonano unifikacji charakteru zmiennych:</w:t>
      </w:r>
    </w:p>
    <w:p w:rsidRPr="006C4D5A" w:rsidR="006C4D5A" w:rsidP="006C4D5A" w:rsidRDefault="006C4D5A" w14:paraId="456C8E9F" w14:textId="77777777">
      <w:pPr>
        <w:numPr>
          <w:ilvl w:val="0"/>
          <w:numId w:val="4"/>
        </w:numPr>
      </w:pPr>
      <w:r w:rsidRPr="006C4D5A">
        <w:rPr>
          <w:b/>
          <w:bCs/>
        </w:rPr>
        <w:t>Stymulacja:</w:t>
      </w:r>
      <w:r w:rsidRPr="006C4D5A">
        <w:t xml:space="preserve"> Zmienne będące </w:t>
      </w:r>
      <w:proofErr w:type="spellStart"/>
      <w:r w:rsidRPr="006C4D5A">
        <w:t>destymulantami</w:t>
      </w:r>
      <w:proofErr w:type="spellEnd"/>
      <w:r w:rsidRPr="006C4D5A">
        <w:t xml:space="preserve"> (X6, X7, X8) przekształcono w stymulanty poprzez zastosowanie formuły różnicowej (odjęcie wartości od maksimum w zbiorze: $max - x_{</w:t>
      </w:r>
      <w:proofErr w:type="spellStart"/>
      <w:r w:rsidRPr="006C4D5A">
        <w:t>ij</w:t>
      </w:r>
      <w:proofErr w:type="spellEnd"/>
      <w:r w:rsidRPr="006C4D5A">
        <w:t>}$).</w:t>
      </w:r>
    </w:p>
    <w:p w:rsidRPr="006C4D5A" w:rsidR="006C4D5A" w:rsidP="006C4D5A" w:rsidRDefault="006C4D5A" w14:paraId="6B973AD2" w14:textId="77777777">
      <w:r w:rsidRPr="006C4D5A">
        <w:t xml:space="preserve">Następnie przeprowadzono normalizację danych </w:t>
      </w:r>
      <w:r w:rsidRPr="006C4D5A">
        <w:rPr>
          <w:b/>
          <w:bCs/>
        </w:rPr>
        <w:t>dwoma różnymi metodami</w:t>
      </w:r>
      <w:r w:rsidRPr="006C4D5A">
        <w:t xml:space="preserve">, aby sprawdzić stabilność wyników. Kluczowym założeniem było zastosowanie </w:t>
      </w:r>
      <w:r w:rsidRPr="006C4D5A">
        <w:rPr>
          <w:b/>
          <w:bCs/>
        </w:rPr>
        <w:t>wspólnej bazy normalizacyjnej</w:t>
      </w:r>
      <w:r w:rsidRPr="006C4D5A">
        <w:t xml:space="preserve"> dla lat 2015 i 2023 (parametry takie jak średnia, odchylenie, min i max liczono dla połączonego zbioru danych z obu lat).</w:t>
      </w:r>
    </w:p>
    <w:p w:rsidRPr="006C4D5A" w:rsidR="006C4D5A" w:rsidP="006C4D5A" w:rsidRDefault="006C4D5A" w14:paraId="23B871C4" w14:textId="77777777">
      <w:pPr>
        <w:numPr>
          <w:ilvl w:val="0"/>
          <w:numId w:val="5"/>
        </w:numPr>
      </w:pPr>
      <w:r w:rsidRPr="006C4D5A">
        <w:rPr>
          <w:b/>
          <w:bCs/>
        </w:rPr>
        <w:t>Standaryzacja klasyczna:</w:t>
      </w:r>
      <w:r w:rsidRPr="006C4D5A">
        <w:t xml:space="preserve"> $(x_{</w:t>
      </w:r>
      <w:proofErr w:type="spellStart"/>
      <w:r w:rsidRPr="006C4D5A">
        <w:t>ij</w:t>
      </w:r>
      <w:proofErr w:type="spellEnd"/>
      <w:r w:rsidRPr="006C4D5A">
        <w:t>} - \bar{x}) / S$.</w:t>
      </w:r>
    </w:p>
    <w:p w:rsidRPr="006C4D5A" w:rsidR="006C4D5A" w:rsidP="006C4D5A" w:rsidRDefault="006C4D5A" w14:paraId="75F14032" w14:textId="77777777">
      <w:pPr>
        <w:numPr>
          <w:ilvl w:val="0"/>
          <w:numId w:val="5"/>
        </w:numPr>
      </w:pPr>
      <w:proofErr w:type="spellStart"/>
      <w:r w:rsidRPr="006C4D5A">
        <w:rPr>
          <w:b/>
          <w:bCs/>
        </w:rPr>
        <w:t>Unitaryzacja</w:t>
      </w:r>
      <w:proofErr w:type="spellEnd"/>
      <w:r w:rsidRPr="006C4D5A">
        <w:rPr>
          <w:b/>
          <w:bCs/>
        </w:rPr>
        <w:t xml:space="preserve"> zerowana:</w:t>
      </w:r>
      <w:r w:rsidRPr="006C4D5A">
        <w:t xml:space="preserve"> $(x_{</w:t>
      </w:r>
      <w:proofErr w:type="spellStart"/>
      <w:r w:rsidRPr="006C4D5A">
        <w:t>ij</w:t>
      </w:r>
      <w:proofErr w:type="spellEnd"/>
      <w:r w:rsidRPr="006C4D5A">
        <w:t xml:space="preserve">} - min) / (max - </w:t>
      </w:r>
      <w:proofErr w:type="gramStart"/>
      <w:r w:rsidRPr="006C4D5A">
        <w:t>min)$</w:t>
      </w:r>
      <w:proofErr w:type="gramEnd"/>
      <w:r w:rsidRPr="006C4D5A">
        <w:t>.</w:t>
      </w:r>
    </w:p>
    <w:p w:rsidRPr="006C4D5A" w:rsidR="006C4D5A" w:rsidP="004F07B0" w:rsidRDefault="006C4D5A" w14:paraId="0C3E8B1C" w14:textId="77777777">
      <w:pPr>
        <w:pStyle w:val="Styl3"/>
      </w:pPr>
      <w:bookmarkStart w:name="_Toc214571339" w:id="7"/>
      <w:r w:rsidRPr="006C4D5A">
        <w:t>4.2. Systemy Wag</w:t>
      </w:r>
      <w:bookmarkEnd w:id="7"/>
    </w:p>
    <w:p w:rsidRPr="006C4D5A" w:rsidR="006C4D5A" w:rsidP="006C4D5A" w:rsidRDefault="006C4D5A" w14:paraId="566B7B46" w14:textId="77777777">
      <w:r w:rsidRPr="006C4D5A">
        <w:t>W celu zbadania wpływu ważenia zmiennych na ranking, zastosowano dwa warianty:</w:t>
      </w:r>
    </w:p>
    <w:p w:rsidRPr="006C4D5A" w:rsidR="006C4D5A" w:rsidP="006C4D5A" w:rsidRDefault="006C4D5A" w14:paraId="74651EEB" w14:textId="77777777">
      <w:pPr>
        <w:numPr>
          <w:ilvl w:val="0"/>
          <w:numId w:val="6"/>
        </w:numPr>
      </w:pPr>
      <w:r w:rsidRPr="006C4D5A">
        <w:rPr>
          <w:b/>
          <w:bCs/>
        </w:rPr>
        <w:t>Wagi równe (W1):</w:t>
      </w:r>
      <w:r w:rsidRPr="006C4D5A">
        <w:t xml:space="preserve"> Każda zmienna ma jednakowy wpływ na wynik końcowy (waga = 1/8).</w:t>
      </w:r>
    </w:p>
    <w:p w:rsidRPr="006C4D5A" w:rsidR="006C4D5A" w:rsidP="006C4D5A" w:rsidRDefault="006C4D5A" w14:paraId="66600C30" w14:textId="77777777">
      <w:pPr>
        <w:numPr>
          <w:ilvl w:val="0"/>
          <w:numId w:val="6"/>
        </w:numPr>
      </w:pPr>
      <w:r w:rsidRPr="006C4D5A">
        <w:rPr>
          <w:b/>
          <w:bCs/>
        </w:rPr>
        <w:t>Wagi statystyczne (W2):</w:t>
      </w:r>
      <w:r w:rsidRPr="006C4D5A">
        <w:t xml:space="preserve"> Wagi oparte na macierzy korelacji (wynikające z analizy powiązań między zmiennymi, aby zniwelować nadreprezentację cech silnie skorelowanych).</w:t>
      </w:r>
    </w:p>
    <w:p w:rsidRPr="006C4D5A" w:rsidR="006C4D5A" w:rsidP="004F07B0" w:rsidRDefault="006C4D5A" w14:paraId="200B091C" w14:textId="77777777">
      <w:pPr>
        <w:pStyle w:val="Styl3"/>
      </w:pPr>
      <w:bookmarkStart w:name="_Toc214571340" w:id="8"/>
      <w:r w:rsidRPr="006C4D5A">
        <w:t>4.3. Konstrukcja wskaźników i Grupowanie</w:t>
      </w:r>
      <w:bookmarkEnd w:id="8"/>
    </w:p>
    <w:p w:rsidRPr="006C4D5A" w:rsidR="006C4D5A" w:rsidP="35C67F4A" w:rsidRDefault="006C4D5A" w14:paraId="62692DCB" w14:textId="3938F84F">
      <w:pPr>
        <w:pStyle w:val="Normalny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006C4D5A">
        <w:rPr/>
        <w:t xml:space="preserve">Zbudowano łącznie </w:t>
      </w:r>
      <w:r w:rsidR="35036E9D">
        <w:rPr/>
        <w:t>w</w:t>
      </w:r>
      <w:r w:rsidRPr="35C67F4A" w:rsidR="006C4D5A">
        <w:rPr>
          <w:b w:val="1"/>
          <w:bCs w:val="1"/>
        </w:rPr>
        <w:t>skaźnik</w:t>
      </w:r>
      <w:r w:rsidRPr="35C67F4A" w:rsidR="4F91B360">
        <w:rPr>
          <w:b w:val="1"/>
          <w:bCs w:val="1"/>
        </w:rPr>
        <w:t>i</w:t>
      </w:r>
      <w:r w:rsidRPr="35C67F4A" w:rsidR="006C4D5A">
        <w:rPr>
          <w:b w:val="1"/>
          <w:bCs w:val="1"/>
        </w:rPr>
        <w:t xml:space="preserve"> syntetyczn</w:t>
      </w:r>
      <w:r w:rsidRPr="35C67F4A" w:rsidR="41A9A785">
        <w:rPr>
          <w:b w:val="1"/>
          <w:bCs w:val="1"/>
        </w:rPr>
        <w:t>e</w:t>
      </w:r>
      <w:r w:rsidR="006C4D5A">
        <w:rPr/>
        <w:t xml:space="preserve"> (kombinacja 2 metod normalizacji i 3 podejść do agregacji/wag: SMR waga 1, SMR waga 2, BZW - </w:t>
      </w:r>
      <w:r w:rsidR="006C4D5A">
        <w:rPr/>
        <w:t>Bezreszty</w:t>
      </w:r>
      <w:r w:rsidR="006C4D5A">
        <w:rPr/>
        <w:t xml:space="preserve"> Zbiór Wartości). W każdym przypadku stosowano ten sam wzorzec (maksymalne wartości z całego okresu 2015-2023), co gwarantuje, że wartości wskaźnika są na tej samej skali w każdym punkcie czasu.</w:t>
      </w:r>
    </w:p>
    <w:p w:rsidRPr="006C4D5A" w:rsidR="006C4D5A" w:rsidP="006C4D5A" w:rsidRDefault="006C4D5A" w14:paraId="780EAE8B" w14:textId="77777777">
      <w:r w:rsidRPr="006C4D5A">
        <w:rPr>
          <w:b/>
          <w:bCs/>
        </w:rPr>
        <w:t>Podział na grupy:</w:t>
      </w:r>
      <w:r w:rsidRPr="006C4D5A">
        <w:t xml:space="preserve"> Obiekty podzielono na 4 grupy (I - poziom bardzo wysoki, II - wysoki, III - średni, IV - niski) w oparciu o metodę </w:t>
      </w:r>
      <w:r w:rsidRPr="006C4D5A">
        <w:rPr>
          <w:b/>
          <w:bCs/>
        </w:rPr>
        <w:t>średniej i odchylenia standardowego</w:t>
      </w:r>
      <w:r w:rsidRPr="006C4D5A">
        <w:t>.</w:t>
      </w:r>
    </w:p>
    <w:p w:rsidRPr="006C4D5A" w:rsidR="006C4D5A" w:rsidP="006C4D5A" w:rsidRDefault="006C4D5A" w14:paraId="664AF69E" w14:textId="77777777">
      <w:pPr>
        <w:numPr>
          <w:ilvl w:val="0"/>
          <w:numId w:val="7"/>
        </w:numPr>
      </w:pPr>
      <w:r w:rsidRPr="006C4D5A">
        <w:rPr>
          <w:i/>
          <w:iCs/>
        </w:rPr>
        <w:t>Ważne:</w:t>
      </w:r>
      <w:r w:rsidRPr="006C4D5A">
        <w:t xml:space="preserve"> Progi grupowe wyliczono na podstawie </w:t>
      </w:r>
      <w:r w:rsidRPr="006C4D5A">
        <w:rPr>
          <w:b/>
          <w:bCs/>
        </w:rPr>
        <w:t>wszystkich punktów czasu łącznie</w:t>
      </w:r>
      <w:r w:rsidRPr="006C4D5A">
        <w:t>. Dzięki temu granica między grupą "wysoką" a "średnią" jest taka sama w 2015 i 2023 roku, co pozwala na obiektywną ocenę awansu lub degradacji kraju.</w:t>
      </w:r>
    </w:p>
    <w:p w:rsidR="006C4D5A" w:rsidP="004F07B0" w:rsidRDefault="006C4D5A" w14:paraId="0BD2BD3B" w14:textId="63BCE895">
      <w:pPr>
        <w:pStyle w:val="Styl2"/>
      </w:pPr>
      <w:bookmarkStart w:name="_Toc214571341" w:id="9"/>
      <w:r w:rsidRPr="006C4D5A">
        <w:t>5. Wyniki analizy i wybór rankingu reprezentatywnego</w:t>
      </w:r>
      <w:bookmarkEnd w:id="9"/>
    </w:p>
    <w:p w:rsidRPr="006C4D5A" w:rsidR="006C4D5A" w:rsidP="004F07B0" w:rsidRDefault="006C4D5A" w14:paraId="78F235C0" w14:textId="77777777">
      <w:pPr>
        <w:pStyle w:val="Styl3"/>
      </w:pPr>
      <w:bookmarkStart w:name="_Toc214571342" w:id="10"/>
      <w:r w:rsidRPr="006C4D5A">
        <w:t>5.1. Analiza wrażliwości i wybór metody</w:t>
      </w:r>
      <w:bookmarkEnd w:id="10"/>
    </w:p>
    <w:p w:rsidRPr="006C4D5A" w:rsidR="006C4D5A" w:rsidP="006C4D5A" w:rsidRDefault="006C4D5A" w14:paraId="7F04F929" w14:textId="77777777">
      <w:r w:rsidRPr="006C4D5A">
        <w:t>Przeprowadzono analizę wpływu zastosowanych procedur na końcowy ranking (pytanie o to, co najbardziej różnicuje wyniki: wagi, normalizacja czy technika budowy).</w:t>
      </w:r>
    </w:p>
    <w:p w:rsidRPr="006C4D5A" w:rsidR="006C4D5A" w:rsidP="006C4D5A" w:rsidRDefault="006C4D5A" w14:paraId="7CD7A82E" w14:textId="77777777">
      <w:pPr>
        <w:numPr>
          <w:ilvl w:val="0"/>
          <w:numId w:val="9"/>
        </w:numPr>
      </w:pPr>
      <w:r w:rsidRPr="006C4D5A">
        <w:t>Obliczono macierze korelacji między rankingami uzyskanymi różnymi metodami.</w:t>
      </w:r>
    </w:p>
    <w:p w:rsidRPr="006C4D5A" w:rsidR="006C4D5A" w:rsidP="006C4D5A" w:rsidRDefault="006C4D5A" w14:paraId="785BEA83" w14:textId="77777777">
      <w:pPr>
        <w:numPr>
          <w:ilvl w:val="0"/>
          <w:numId w:val="9"/>
        </w:numPr>
      </w:pPr>
      <w:r w:rsidRPr="006C4D5A">
        <w:rPr>
          <w:b/>
          <w:bCs/>
        </w:rPr>
        <w:t>Wniosek:</w:t>
      </w:r>
      <w:r w:rsidRPr="006C4D5A">
        <w:t xml:space="preserve"> Rankingi okazały się </w:t>
      </w:r>
      <w:r w:rsidRPr="006C4D5A">
        <w:rPr>
          <w:b/>
          <w:bCs/>
        </w:rPr>
        <w:t>bardzo silnie skorelowane</w:t>
      </w:r>
      <w:r w:rsidRPr="006C4D5A">
        <w:t xml:space="preserve"> (współczynniki korelacji &gt; 0,90, często bliskie 0,99). Oznacza to, że podział obiektów jest stabilny i wynika z rzeczywistych różnic w danych, a nie z przyjętej metodyki. Największy wpływ na ewentualne drobne przesunięcia miała metoda normalizacji (Standaryzacja vs </w:t>
      </w:r>
      <w:proofErr w:type="spellStart"/>
      <w:r w:rsidRPr="006C4D5A">
        <w:t>Unitaryzacja</w:t>
      </w:r>
      <w:proofErr w:type="spellEnd"/>
      <w:r w:rsidRPr="006C4D5A">
        <w:t>).</w:t>
      </w:r>
    </w:p>
    <w:p w:rsidRPr="006C4D5A" w:rsidR="006C4D5A" w:rsidP="006C4D5A" w:rsidRDefault="006C4D5A" w14:paraId="7940A2E4" w14:textId="77777777">
      <w:r w:rsidRPr="006C4D5A">
        <w:rPr>
          <w:b/>
          <w:bCs/>
        </w:rPr>
        <w:t>Wybór reprezentanta:</w:t>
      </w:r>
      <w:r w:rsidRPr="006C4D5A">
        <w:t xml:space="preserve"> Jako ranking reprezentatywny wybrano wariant oparty na </w:t>
      </w:r>
      <w:r w:rsidRPr="006C4D5A">
        <w:rPr>
          <w:b/>
          <w:bCs/>
        </w:rPr>
        <w:t>Standaryzacji z wagami równymi</w:t>
      </w:r>
      <w:r w:rsidRPr="006C4D5A">
        <w:t>. Wybór ten podyktowany był najwyższą sumą podobieństw (średnią korelacji) z pozostałymi rankingami w obu okresach czasowych, co czyni go najbardziej obiektywnym miernikiem.</w:t>
      </w:r>
    </w:p>
    <w:p w:rsidRPr="006C4D5A" w:rsidR="006C4D5A" w:rsidP="004F07B0" w:rsidRDefault="006C4D5A" w14:paraId="2AA3ABB3" w14:textId="77777777">
      <w:pPr>
        <w:pStyle w:val="Styl3"/>
      </w:pPr>
      <w:bookmarkStart w:name="_Toc214571343" w:id="11"/>
      <w:r w:rsidRPr="006C4D5A">
        <w:t>5.2. Liderzy i zmiany w czasie</w:t>
      </w:r>
      <w:bookmarkEnd w:id="11"/>
    </w:p>
    <w:p w:rsidRPr="006C4D5A" w:rsidR="006C4D5A" w:rsidP="006C4D5A" w:rsidRDefault="006C4D5A" w14:paraId="63FEAC9F" w14:textId="77777777">
      <w:r w:rsidRPr="006C4D5A">
        <w:t>Na podstawie wybranego rankingu reprezentatywnego:</w:t>
      </w:r>
    </w:p>
    <w:p w:rsidRPr="006C4D5A" w:rsidR="006C4D5A" w:rsidP="006C4D5A" w:rsidRDefault="006C4D5A" w14:paraId="3C312B40" w14:textId="77777777">
      <w:pPr>
        <w:numPr>
          <w:ilvl w:val="0"/>
          <w:numId w:val="8"/>
        </w:numPr>
      </w:pPr>
      <w:r w:rsidRPr="006C4D5A">
        <w:rPr>
          <w:b/>
          <w:bCs/>
        </w:rPr>
        <w:t>Lider:</w:t>
      </w:r>
      <w:r w:rsidRPr="006C4D5A">
        <w:t xml:space="preserve"> Niezmiennie </w:t>
      </w:r>
      <w:r w:rsidRPr="006C4D5A">
        <w:rPr>
          <w:b/>
          <w:bCs/>
        </w:rPr>
        <w:t>Słowenia</w:t>
      </w:r>
      <w:r w:rsidRPr="006C4D5A">
        <w:t xml:space="preserve"> (1. miejsce w 2015 i 2023).</w:t>
      </w:r>
    </w:p>
    <w:p w:rsidRPr="006C4D5A" w:rsidR="006C4D5A" w:rsidP="006C4D5A" w:rsidRDefault="006C4D5A" w14:paraId="455507C6" w14:textId="77777777">
      <w:pPr>
        <w:numPr>
          <w:ilvl w:val="0"/>
          <w:numId w:val="8"/>
        </w:numPr>
      </w:pPr>
      <w:r w:rsidRPr="006C4D5A">
        <w:rPr>
          <w:b/>
          <w:bCs/>
        </w:rPr>
        <w:t xml:space="preserve">Czołówka (Grupa I </w:t>
      </w:r>
      <w:proofErr w:type="spellStart"/>
      <w:r w:rsidRPr="006C4D5A">
        <w:rPr>
          <w:b/>
          <w:bCs/>
        </w:rPr>
        <w:t>i</w:t>
      </w:r>
      <w:proofErr w:type="spellEnd"/>
      <w:r w:rsidRPr="006C4D5A">
        <w:rPr>
          <w:b/>
          <w:bCs/>
        </w:rPr>
        <w:t xml:space="preserve"> II):</w:t>
      </w:r>
      <w:r w:rsidRPr="006C4D5A">
        <w:t xml:space="preserve"> Czechy, Estonia. Są to kraje stabilnie rozwijające się.</w:t>
      </w:r>
    </w:p>
    <w:p w:rsidRPr="006C4D5A" w:rsidR="006C4D5A" w:rsidP="006C4D5A" w:rsidRDefault="006C4D5A" w14:paraId="6A180261" w14:textId="77777777">
      <w:pPr>
        <w:numPr>
          <w:ilvl w:val="0"/>
          <w:numId w:val="8"/>
        </w:numPr>
      </w:pPr>
      <w:r w:rsidRPr="006C4D5A">
        <w:rPr>
          <w:b/>
          <w:bCs/>
        </w:rPr>
        <w:t>Największy awans:</w:t>
      </w:r>
      <w:r w:rsidRPr="006C4D5A">
        <w:t xml:space="preserve"> </w:t>
      </w:r>
      <w:r w:rsidRPr="006C4D5A">
        <w:rPr>
          <w:b/>
          <w:bCs/>
        </w:rPr>
        <w:t>Chorwacja</w:t>
      </w:r>
      <w:r w:rsidRPr="006C4D5A">
        <w:t>. W 2015 roku znajdowała się w grupach niższych, natomiast w 2023 roku odnotowała znaczący wzrost wartości wskaźnika, zbliżając się do średniej.</w:t>
      </w:r>
    </w:p>
    <w:p w:rsidRPr="006C4D5A" w:rsidR="006C4D5A" w:rsidP="006C4D5A" w:rsidRDefault="006C4D5A" w14:paraId="36204012" w14:textId="77777777" w14:noSpellErr="1">
      <w:pPr>
        <w:numPr>
          <w:ilvl w:val="0"/>
          <w:numId w:val="8"/>
        </w:numPr>
        <w:rPr/>
      </w:pPr>
      <w:r w:rsidRPr="35C67F4A" w:rsidR="006C4D5A">
        <w:rPr>
          <w:b w:val="1"/>
          <w:bCs w:val="1"/>
        </w:rPr>
        <w:t>Grupa końcowa (Grupa IV):</w:t>
      </w:r>
      <w:r w:rsidR="006C4D5A">
        <w:rPr/>
        <w:t xml:space="preserve"> Bułgaria i Rumunia – mimo wzrostu wartości bezwzględnych, nadal pozostają na końcu stawki w relacji do reszty regionu.</w:t>
      </w:r>
    </w:p>
    <w:p w:rsidR="01D1A1FF" w:rsidP="35C67F4A" w:rsidRDefault="01D1A1FF" w14:paraId="7386E54E" w14:textId="43605DB8">
      <w:pPr>
        <w:pStyle w:val="Normalny"/>
        <w:ind w:left="720"/>
      </w:pPr>
      <w:r w:rsidRPr="35C67F4A" w:rsidR="01D1A1FF">
        <w:rPr>
          <w:rFonts w:ascii="Aptos" w:hAnsi="Aptos" w:eastAsia="Aptos" w:cs="Aptos"/>
          <w:noProof w:val="0"/>
          <w:sz w:val="24"/>
          <w:szCs w:val="24"/>
          <w:lang w:val="pl-PL"/>
        </w:rPr>
        <w:t>Zaobserwowano również spadek odchylenia standardowego (zmniejszenie rozproszenia wyników), co potwierdza występowanie procesu konwergencji (wyrównywania poziomu rozwoju) w regionie.</w:t>
      </w:r>
    </w:p>
    <w:p w:rsidRPr="006C4D5A" w:rsidR="006C4D5A" w:rsidP="006C4D5A" w:rsidRDefault="006C4D5A" w14:paraId="0E46BD8C" w14:textId="77777777">
      <w:r w:rsidRPr="006C4D5A">
        <w:rPr>
          <w:b/>
          <w:bCs/>
        </w:rPr>
        <w:t>Dynamika wartości wskaźnika:</w:t>
      </w:r>
      <w:r w:rsidRPr="006C4D5A">
        <w:t xml:space="preserve"> Analiza statystyk opisowych wskaźnika syntetycznego (średnia, rozproszenie) dla całej grupy wykazała wzrost średniej wartości wskaźnika w 2023 roku w porównaniu do 2015. Świadczy to o ogólnym postępie regionu w realizacji celów zrównoważonego rozwoju.</w:t>
      </w:r>
    </w:p>
    <w:p w:rsidRPr="006C4D5A" w:rsidR="006C4D5A" w:rsidP="004F07B0" w:rsidRDefault="006C4D5A" w14:paraId="0DF5343E" w14:textId="77777777">
      <w:pPr>
        <w:pStyle w:val="Styl2"/>
      </w:pPr>
      <w:bookmarkStart w:name="_Toc214571344" w:id="12"/>
      <w:r w:rsidRPr="006C4D5A">
        <w:t>6. Wizualizacja i Raport graficzny</w:t>
      </w:r>
      <w:bookmarkEnd w:id="12"/>
    </w:p>
    <w:p w:rsidRPr="006C4D5A" w:rsidR="006C4D5A" w:rsidP="006C4D5A" w:rsidRDefault="006C4D5A" w14:paraId="12E1EB5E" w14:textId="77777777">
      <w:r w:rsidRPr="006C4D5A">
        <w:t>Do projektu dołączono wizualizację wyników (dostępną w arkuszu analitycznym), która spełnia wymogi czytelności raportowej:</w:t>
      </w:r>
    </w:p>
    <w:p w:rsidRPr="006C4D5A" w:rsidR="006C4D5A" w:rsidP="006C4D5A" w:rsidRDefault="006C4D5A" w14:paraId="000F3B83" w14:textId="77777777">
      <w:pPr>
        <w:numPr>
          <w:ilvl w:val="0"/>
          <w:numId w:val="10"/>
        </w:numPr>
      </w:pPr>
      <w:r w:rsidRPr="006C4D5A">
        <w:rPr>
          <w:b/>
          <w:bCs/>
        </w:rPr>
        <w:t>Wykres zmian pozycji:</w:t>
      </w:r>
      <w:r w:rsidRPr="006C4D5A">
        <w:t xml:space="preserve"> Przedstawia ranking krajów w 2015 i 2023 roku na jednym rysunku, co pozwala na szybką identyfikację awansów (np. Chorwacja) i spadków.</w:t>
      </w:r>
    </w:p>
    <w:p w:rsidRPr="006C4D5A" w:rsidR="006C4D5A" w:rsidP="006C4D5A" w:rsidRDefault="006C4D5A" w14:paraId="636AB334" w14:textId="77777777">
      <w:pPr>
        <w:numPr>
          <w:ilvl w:val="0"/>
          <w:numId w:val="10"/>
        </w:numPr>
      </w:pPr>
      <w:r w:rsidRPr="006C4D5A">
        <w:rPr>
          <w:b/>
          <w:bCs/>
        </w:rPr>
        <w:t>Tło porównawcze:</w:t>
      </w:r>
      <w:r w:rsidRPr="006C4D5A">
        <w:t xml:space="preserve"> Wykresy zawierają linię referencyjną (średnią dla regionu), co pozwala ocenić dystans każdego kraju do przeciętnej.</w:t>
      </w:r>
    </w:p>
    <w:p w:rsidRPr="006C4D5A" w:rsidR="006C4D5A" w:rsidP="006C4D5A" w:rsidRDefault="006C4D5A" w14:paraId="0F69CEF3" w14:textId="77777777">
      <w:pPr>
        <w:numPr>
          <w:ilvl w:val="0"/>
          <w:numId w:val="10"/>
        </w:numPr>
      </w:pPr>
      <w:r w:rsidRPr="006C4D5A">
        <w:rPr>
          <w:b/>
          <w:bCs/>
        </w:rPr>
        <w:t>Skala:</w:t>
      </w:r>
      <w:r w:rsidRPr="006C4D5A">
        <w:t xml:space="preserve"> Wszystkie rysunki dla obu lat zachowują ten sam zakres osi Y (dzięki wspólnej normalizacji), co umożliwia bezpośrednie porównanie wizualne "słupków".</w:t>
      </w:r>
    </w:p>
    <w:p w:rsidRPr="006C4D5A" w:rsidR="006C4D5A" w:rsidP="004F07B0" w:rsidRDefault="006C4D5A" w14:paraId="6BBCBF89" w14:textId="77777777">
      <w:pPr>
        <w:pStyle w:val="Styl2"/>
      </w:pPr>
      <w:bookmarkStart w:name="_Toc214571345" w:id="13"/>
      <w:r w:rsidRPr="006C4D5A">
        <w:t>7. Wnioski końcowe</w:t>
      </w:r>
      <w:bookmarkEnd w:id="13"/>
    </w:p>
    <w:p w:rsidRPr="006C4D5A" w:rsidR="006C4D5A" w:rsidP="006C4D5A" w:rsidRDefault="006C4D5A" w14:paraId="430CCF40" w14:textId="5573FAF0">
      <w:pPr>
        <w:numPr>
          <w:ilvl w:val="0"/>
          <w:numId w:val="11"/>
        </w:numPr>
        <w:rPr/>
      </w:pPr>
      <w:r w:rsidRPr="35C67F4A" w:rsidR="006C4D5A">
        <w:rPr>
          <w:b w:val="1"/>
          <w:bCs w:val="1"/>
        </w:rPr>
        <w:t>Stabilność czołówki:</w:t>
      </w:r>
      <w:r w:rsidR="006C4D5A">
        <w:rPr/>
        <w:t xml:space="preserve"> Podział na kraje "Północy/Centrum" (Słowenia, Czechy, Estonia) oraz "Południa" (Bułgaria, Rumunia) jest trwałym elementem struktury rozwoju w regionie EŚW.</w:t>
      </w:r>
      <w:r w:rsidR="2A43BED6">
        <w:rPr/>
        <w:t xml:space="preserve"> </w:t>
      </w:r>
      <w:r w:rsidR="0224E363">
        <w:rPr/>
        <w:t>Analiza wykazała wysoką stabilność podziału na grupy. Grupa liderów (I) oraz grupa outsiderów (IV) składa się w obu okresach z tych samych państw. Przesunięcia nastąpiły jedynie w grupach środkowych (II i III)</w:t>
      </w:r>
    </w:p>
    <w:p w:rsidR="372C4586" w:rsidP="35C67F4A" w:rsidRDefault="372C4586" w14:paraId="361C1BD0" w14:textId="6DC2F9EC">
      <w:pPr>
        <w:numPr>
          <w:ilvl w:val="0"/>
          <w:numId w:val="11"/>
        </w:numPr>
        <w:rPr/>
      </w:pPr>
      <w:r w:rsidRPr="35C67F4A" w:rsidR="372C4586">
        <w:rPr>
          <w:rFonts w:ascii="Aptos" w:hAnsi="Aptos" w:eastAsia="Aptos" w:cs="Aptos"/>
          <w:noProof w:val="0"/>
          <w:sz w:val="24"/>
          <w:szCs w:val="24"/>
          <w:lang w:val="pl-PL"/>
        </w:rPr>
        <w:t>Porównanie grup krajów w latach 2015 i 2023 pokazało, że ich podział na cztery kategorie jest dość trwały — większość państw pozostaje w zbliżonej grupie, niezależnie od tego, czy zastosowano unitaryzację czy standaryzację oraz jaki zestaw wag przyjęto.</w:t>
      </w:r>
    </w:p>
    <w:p w:rsidRPr="006C4D5A" w:rsidR="006C4D5A" w:rsidP="006C4D5A" w:rsidRDefault="006C4D5A" w14:paraId="5D77940E" w14:textId="77777777">
      <w:pPr>
        <w:numPr>
          <w:ilvl w:val="0"/>
          <w:numId w:val="11"/>
        </w:numPr>
      </w:pPr>
      <w:r w:rsidRPr="006C4D5A">
        <w:rPr>
          <w:b/>
          <w:bCs/>
        </w:rPr>
        <w:t>Konwergencja:</w:t>
      </w:r>
      <w:r w:rsidRPr="006C4D5A">
        <w:t xml:space="preserve"> Obserwuje się zjawisko "doganiania" – kraje słabsze poprawiają swoje wskaźniki, a spektakularny przykład Chorwacji pokazuje, że możliwy jest szybki awans w hierarchii.</w:t>
      </w:r>
    </w:p>
    <w:p w:rsidRPr="006C4D5A" w:rsidR="006C4D5A" w:rsidP="006C4D5A" w:rsidRDefault="006C4D5A" w14:paraId="4F77B3B4" w14:textId="77777777">
      <w:pPr>
        <w:numPr>
          <w:ilvl w:val="0"/>
          <w:numId w:val="11"/>
        </w:numPr>
      </w:pPr>
      <w:r w:rsidRPr="006C4D5A">
        <w:rPr>
          <w:b/>
          <w:bCs/>
        </w:rPr>
        <w:t>Metodyka:</w:t>
      </w:r>
      <w:r w:rsidRPr="006C4D5A">
        <w:t xml:space="preserve"> Zastosowanie wspólnej normalizacji dla obu okresów było kluczowe dla poprawności wnioskowania o zmianach. Wyniki są odporne na zmianę systemu wag, co potwierdza wiarygodność danych wejściowych Eurostatu.</w:t>
      </w:r>
    </w:p>
    <w:p w:rsidRPr="006C4D5A" w:rsidR="006C4D5A" w:rsidP="006C4D5A" w:rsidRDefault="006C4D5A" w14:paraId="3E35D955" w14:textId="77777777">
      <w:pPr>
        <w:numPr>
          <w:ilvl w:val="0"/>
          <w:numId w:val="11"/>
        </w:numPr>
      </w:pPr>
      <w:r w:rsidRPr="006C4D5A">
        <w:rPr>
          <w:b/>
          <w:bCs/>
        </w:rPr>
        <w:t>Cel:</w:t>
      </w:r>
      <w:r w:rsidRPr="006C4D5A">
        <w:t xml:space="preserve"> Postawiony cel pracy został zrealizowany – zidentyfikowano liderów, outsiderów oraz kierunki zmian w zrównoważonym rozwoju regionu.</w:t>
      </w:r>
    </w:p>
    <w:p w:rsidR="006C4D5A" w:rsidP="006C4D5A" w:rsidRDefault="006C4D5A" w14:paraId="170A3ADD" w14:textId="77777777"/>
    <w:sectPr w:rsidR="006C4D5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50"/>
    <w:multiLevelType w:val="multilevel"/>
    <w:tmpl w:val="7AD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C35E09"/>
    <w:multiLevelType w:val="multilevel"/>
    <w:tmpl w:val="6D4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644E15"/>
    <w:multiLevelType w:val="multilevel"/>
    <w:tmpl w:val="A310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74AD2"/>
    <w:multiLevelType w:val="multilevel"/>
    <w:tmpl w:val="570C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241EE"/>
    <w:multiLevelType w:val="multilevel"/>
    <w:tmpl w:val="339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60314B6"/>
    <w:multiLevelType w:val="multilevel"/>
    <w:tmpl w:val="7AB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CF46917"/>
    <w:multiLevelType w:val="multilevel"/>
    <w:tmpl w:val="BB5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AB861B8"/>
    <w:multiLevelType w:val="multilevel"/>
    <w:tmpl w:val="4C28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C3D47"/>
    <w:multiLevelType w:val="multilevel"/>
    <w:tmpl w:val="0124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53778"/>
    <w:multiLevelType w:val="multilevel"/>
    <w:tmpl w:val="6C68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116FF0"/>
    <w:multiLevelType w:val="multilevel"/>
    <w:tmpl w:val="5956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31705">
    <w:abstractNumId w:val="10"/>
  </w:num>
  <w:num w:numId="2" w16cid:durableId="476461858">
    <w:abstractNumId w:val="6"/>
  </w:num>
  <w:num w:numId="3" w16cid:durableId="216404919">
    <w:abstractNumId w:val="8"/>
  </w:num>
  <w:num w:numId="4" w16cid:durableId="1738436618">
    <w:abstractNumId w:val="0"/>
  </w:num>
  <w:num w:numId="5" w16cid:durableId="2102876466">
    <w:abstractNumId w:val="9"/>
  </w:num>
  <w:num w:numId="6" w16cid:durableId="1084491439">
    <w:abstractNumId w:val="2"/>
  </w:num>
  <w:num w:numId="7" w16cid:durableId="1149981203">
    <w:abstractNumId w:val="5"/>
  </w:num>
  <w:num w:numId="8" w16cid:durableId="1724062322">
    <w:abstractNumId w:val="1"/>
  </w:num>
  <w:num w:numId="9" w16cid:durableId="1937247699">
    <w:abstractNumId w:val="4"/>
  </w:num>
  <w:num w:numId="10" w16cid:durableId="1830554162">
    <w:abstractNumId w:val="7"/>
  </w:num>
  <w:num w:numId="11" w16cid:durableId="2128497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BA"/>
    <w:rsid w:val="002961DA"/>
    <w:rsid w:val="00342F1F"/>
    <w:rsid w:val="00410517"/>
    <w:rsid w:val="004F07B0"/>
    <w:rsid w:val="006C4D5A"/>
    <w:rsid w:val="007F3811"/>
    <w:rsid w:val="009F2E30"/>
    <w:rsid w:val="00A1057C"/>
    <w:rsid w:val="00A113BA"/>
    <w:rsid w:val="01D1A1FF"/>
    <w:rsid w:val="0224E363"/>
    <w:rsid w:val="0441861E"/>
    <w:rsid w:val="06025D94"/>
    <w:rsid w:val="10AFC7DD"/>
    <w:rsid w:val="28039BD7"/>
    <w:rsid w:val="2A43BED6"/>
    <w:rsid w:val="35036E9D"/>
    <w:rsid w:val="35C67F4A"/>
    <w:rsid w:val="372C4586"/>
    <w:rsid w:val="3C1CBF2D"/>
    <w:rsid w:val="41A9A785"/>
    <w:rsid w:val="4F91B360"/>
    <w:rsid w:val="703B8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5DA83"/>
  <w15:chartTrackingRefBased/>
  <w15:docId w15:val="{FEAD5F0B-35A1-4683-8ADB-CB419C89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113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113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11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1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11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1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1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1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1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basedOn w:val="Domylnaczcionkaakapitu"/>
    <w:link w:val="Nagwek1"/>
    <w:uiPriority w:val="9"/>
    <w:rsid w:val="00A113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/>
    <w:rsid w:val="00A113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A113B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A113BA"/>
    <w:rPr>
      <w:rFonts w:eastAsiaTheme="majorEastAsia" w:cstheme="majorBidi"/>
      <w:i/>
      <w:iCs/>
      <w:color w:val="0F4761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A113BA"/>
    <w:rPr>
      <w:rFonts w:eastAsiaTheme="majorEastAsia" w:cstheme="majorBidi"/>
      <w:color w:val="0F4761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A113BA"/>
    <w:rPr>
      <w:rFonts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A113BA"/>
    <w:rPr>
      <w:rFonts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A113BA"/>
    <w:rPr>
      <w:rFonts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A113B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113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A113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1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A1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113BA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A113B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113B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113B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113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A113B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113B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C4D5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C4D5A"/>
    <w:rPr>
      <w:color w:val="605E5C"/>
      <w:shd w:val="clear" w:color="auto" w:fill="E1DFDD"/>
    </w:rPr>
  </w:style>
  <w:style w:type="paragraph" w:styleId="Styl1" w:customStyle="1">
    <w:name w:val="Styl1"/>
    <w:basedOn w:val="Nagwek1"/>
    <w:link w:val="Styl1Znak"/>
    <w:qFormat/>
    <w:rsid w:val="006C4D5A"/>
    <w:rPr>
      <w:b/>
      <w:color w:val="0A2F41" w:themeColor="accent1" w:themeShade="80"/>
      <w:sz w:val="24"/>
    </w:rPr>
  </w:style>
  <w:style w:type="character" w:styleId="Styl1Znak" w:customStyle="1">
    <w:name w:val="Styl1 Znak"/>
    <w:basedOn w:val="Domylnaczcionkaakapitu"/>
    <w:link w:val="Styl1"/>
    <w:rsid w:val="006C4D5A"/>
    <w:rPr>
      <w:rFonts w:asciiTheme="majorHAnsi" w:hAnsiTheme="majorHAnsi" w:eastAsiaTheme="majorEastAsia" w:cstheme="majorBidi"/>
      <w:b/>
      <w:color w:val="0A2F41" w:themeColor="accent1" w:themeShade="80"/>
      <w:szCs w:val="40"/>
    </w:rPr>
  </w:style>
  <w:style w:type="paragraph" w:styleId="Styl2" w:customStyle="1">
    <w:name w:val="Styl2"/>
    <w:basedOn w:val="Nagwek2"/>
    <w:next w:val="Nagwek2"/>
    <w:link w:val="Styl2Znak"/>
    <w:qFormat/>
    <w:rsid w:val="004F07B0"/>
    <w:rPr>
      <w:b/>
      <w:bCs/>
      <w:color w:val="0A2F41" w:themeColor="accent1" w:themeShade="80"/>
      <w:sz w:val="24"/>
    </w:rPr>
  </w:style>
  <w:style w:type="character" w:styleId="Styl2Znak" w:customStyle="1">
    <w:name w:val="Styl2 Znak"/>
    <w:basedOn w:val="Domylnaczcionkaakapitu"/>
    <w:link w:val="Styl2"/>
    <w:rsid w:val="004F07B0"/>
    <w:rPr>
      <w:rFonts w:asciiTheme="majorHAnsi" w:hAnsiTheme="majorHAnsi" w:eastAsiaTheme="majorEastAsia" w:cstheme="majorBidi"/>
      <w:b/>
      <w:bCs/>
      <w:color w:val="0A2F41" w:themeColor="accent1" w:themeShade="80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F07B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4F07B0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F07B0"/>
    <w:pPr>
      <w:spacing w:after="100"/>
      <w:ind w:left="240"/>
    </w:pPr>
  </w:style>
  <w:style w:type="paragraph" w:styleId="Styl3" w:customStyle="1">
    <w:name w:val="Styl3"/>
    <w:basedOn w:val="Nagwek3"/>
    <w:link w:val="Styl3Znak"/>
    <w:qFormat/>
    <w:rsid w:val="004F07B0"/>
    <w:rPr>
      <w:b/>
      <w:sz w:val="22"/>
    </w:rPr>
  </w:style>
  <w:style w:type="character" w:styleId="Styl3Znak" w:customStyle="1">
    <w:name w:val="Styl3 Znak"/>
    <w:basedOn w:val="Styl1Znak"/>
    <w:link w:val="Styl3"/>
    <w:rsid w:val="004F07B0"/>
    <w:rPr>
      <w:rFonts w:asciiTheme="majorHAnsi" w:hAnsiTheme="majorHAnsi" w:eastAsiaTheme="majorEastAsia" w:cstheme="majorBidi"/>
      <w:b/>
      <w:color w:val="0F4761" w:themeColor="accent1" w:themeShade="BF"/>
      <w:sz w:val="22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4F07B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ec.europa.eu/eurostat/web/sdi/database?utm_source=chatgpt.com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4949D-E34C-4788-AC55-3953B6F4D2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Wierzchowski,Emanuel,PL-Warszawa,IT Workforce 360</dc:creator>
  <keywords/>
  <dc:description/>
  <lastModifiedBy>Emanuel Wierzchowski</lastModifiedBy>
  <revision>3</revision>
  <dcterms:created xsi:type="dcterms:W3CDTF">2025-11-20T21:32:00.0000000Z</dcterms:created>
  <dcterms:modified xsi:type="dcterms:W3CDTF">2025-11-20T22:47:19.5601385Z</dcterms:modified>
</coreProperties>
</file>