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32"/>
          <w:szCs w:val="32"/>
        </w:rPr>
        <w:t xml:space="preserve">Couch Heroes – Legal Function Briefing</w:t>
      </w:r>
    </w:p>
    <w:p>
      <w:pPr>
        <w:spacing w:after="240"/>
      </w:pPr>
      <w:r>
        <w:rPr>
          <w:i/>
          <w:iCs/>
          <w:sz w:val="22"/>
          <w:szCs w:val="22"/>
        </w:rPr>
        <w:t xml:space="preserve">April 2026</w:t>
      </w:r>
    </w:p>
    <w:p>
      <w:pPr>
        <w:pStyle w:val="Heading1"/>
        <w:spacing w:after="160" w:before="320"/>
      </w:pPr>
      <w:r>
        <w:rPr>
          <w:b/>
          <w:bCs/>
          <w:sz w:val="28"/>
          <w:szCs w:val="28"/>
        </w:rPr>
        <w:t xml:space="preserve">1. Company snapshot</w:t>
      </w:r>
    </w:p>
    <w:p>
      <w:pPr>
        <w:pStyle w:val="ListParagraph"/>
        <w:numPr>
          <w:ilvl w:val="0"/>
          <w:numId w:val="2"/>
        </w:numPr>
        <w:spacing w:after="80"/>
      </w:pPr>
      <w:r>
        <w:rPr>
          <w:b/>
          <w:bCs/>
          <w:sz w:val="22"/>
          <w:szCs w:val="22"/>
        </w:rPr>
        <w:t xml:space="preserve">Business: </w:t>
      </w:r>
      <w:r>
        <w:rPr>
          <w:sz w:val="22"/>
          <w:szCs w:val="22"/>
        </w:rPr>
        <w:t xml:space="preserve">Couch Heroes is a social-layer MMO platform for the gaming industry, enabling cross-game identity, player expression, and game discovery. Approximately four years old.</w:t>
      </w:r>
    </w:p>
    <w:p>
      <w:pPr>
        <w:pStyle w:val="ListParagraph"/>
        <w:numPr>
          <w:ilvl w:val="0"/>
          <w:numId w:val="2"/>
        </w:numPr>
        <w:spacing w:after="80"/>
      </w:pPr>
      <w:r>
        <w:rPr>
          <w:b/>
          <w:bCs/>
          <w:sz w:val="22"/>
          <w:szCs w:val="22"/>
        </w:rPr>
        <w:t xml:space="preserve">Stage: </w:t>
      </w:r>
      <w:r>
        <w:rPr>
          <w:sz w:val="22"/>
          <w:szCs w:val="22"/>
        </w:rPr>
        <w:t xml:space="preserve">Alpha phase, scaling team, in active restructuring with senior hires being made and departments being built out.</w:t>
      </w:r>
    </w:p>
    <w:p>
      <w:pPr>
        <w:pStyle w:val="ListParagraph"/>
        <w:numPr>
          <w:ilvl w:val="0"/>
          <w:numId w:val="2"/>
        </w:numPr>
        <w:spacing w:after="80"/>
      </w:pPr>
      <w:r>
        <w:rPr>
          <w:b/>
          <w:bCs/>
          <w:sz w:val="22"/>
          <w:szCs w:val="22"/>
        </w:rPr>
        <w:t xml:space="preserve">Group structure: </w:t>
      </w:r>
      <w:r>
        <w:rPr>
          <w:sz w:val="22"/>
          <w:szCs w:val="22"/>
        </w:rPr>
        <w:t xml:space="preserve">Four entities: a UK HoldCo, a UK Operating Company (CH Game Development UK Ltd), a Cypriot entity, and a Greek entity. Operations and HoldCo were recently migrated from Cyprus to the UK; the Cypriot and Greek entities remain operational.</w:t>
      </w:r>
    </w:p>
    <w:p>
      <w:pPr>
        <w:pStyle w:val="ListParagraph"/>
        <w:numPr>
          <w:ilvl w:val="0"/>
          <w:numId w:val="2"/>
        </w:numPr>
        <w:spacing w:after="80"/>
      </w:pPr>
      <w:r>
        <w:rPr>
          <w:b/>
          <w:bCs/>
          <w:sz w:val="22"/>
          <w:szCs w:val="22"/>
        </w:rPr>
        <w:t xml:space="preserve">Founders: </w:t>
      </w:r>
      <w:r>
        <w:rPr>
          <w:sz w:val="22"/>
          <w:szCs w:val="22"/>
        </w:rPr>
        <w:t xml:space="preserve">Two founders, both Greek residents. Two earlier co-founders have departed.</w:t>
      </w:r>
    </w:p>
    <w:p>
      <w:pPr>
        <w:pStyle w:val="ListParagraph"/>
        <w:numPr>
          <w:ilvl w:val="0"/>
          <w:numId w:val="2"/>
        </w:numPr>
        <w:spacing w:after="80"/>
      </w:pPr>
      <w:r>
        <w:rPr>
          <w:b/>
          <w:bCs/>
          <w:sz w:val="22"/>
          <w:szCs w:val="22"/>
        </w:rPr>
        <w:t xml:space="preserve">Workforce: </w:t>
      </w:r>
      <w:r>
        <w:rPr>
          <w:sz w:val="22"/>
          <w:szCs w:val="22"/>
        </w:rPr>
        <w:t xml:space="preserve">A mix of UK-based employees, UK-based contractors, and contractors based outside the UK.</w:t>
      </w:r>
    </w:p>
    <w:p>
      <w:pPr>
        <w:pStyle w:val="ListParagraph"/>
        <w:numPr>
          <w:ilvl w:val="0"/>
          <w:numId w:val="2"/>
        </w:numPr>
        <w:spacing w:after="80"/>
      </w:pPr>
      <w:r>
        <w:rPr>
          <w:b/>
          <w:bCs/>
          <w:sz w:val="22"/>
          <w:szCs w:val="22"/>
        </w:rPr>
        <w:t xml:space="preserve">Funding: </w:t>
      </w:r>
      <w:r>
        <w:rPr>
          <w:sz w:val="22"/>
          <w:szCs w:val="22"/>
        </w:rPr>
        <w:t xml:space="preserve">Currently closing a SAFE round. Next equity round targeted for summer 2026. Outstanding convertible instruments and option grants sit alongside existing equity on the cap table.</w:t>
      </w:r>
    </w:p>
    <w:p>
      <w:pPr>
        <w:pStyle w:val="Heading1"/>
        <w:spacing w:after="160" w:before="320"/>
      </w:pPr>
      <w:r>
        <w:rPr>
          <w:b/>
          <w:bCs/>
          <w:sz w:val="28"/>
          <w:szCs w:val="28"/>
        </w:rPr>
        <w:t xml:space="preserve">2. Starting point</w:t>
      </w:r>
    </w:p>
    <w:p>
      <w:pPr>
        <w:spacing w:after="120" w:before="0"/>
      </w:pPr>
      <w:r>
        <w:rPr>
          <w:sz w:val="22"/>
          <w:szCs w:val="22"/>
        </w:rPr>
        <w:t xml:space="preserve">Couch Heroes is at a stage where legal coverage to date has been a mix of one internal resource and external specialist support engaged on a transactional basis. That arrangement is being wound down, and the incoming engagement is intended to replace both.</w:t>
      </w:r>
    </w:p>
    <w:p>
      <w:pPr>
        <w:spacing w:after="120" w:before="60"/>
      </w:pPr>
      <w:r>
        <w:rPr>
          <w:sz w:val="22"/>
          <w:szCs w:val="22"/>
        </w:rPr>
        <w:t xml:space="preserve">Legal hygiene across the group is incomplete. New gaps are surfacing regularly, and the first phase of the engagement will need to combine remediation with forward-looking work. We do not always know what we do not know, and a significant part of the value we are looking for is someone who identifies gaps proactively rather than waiting to be asked.</w:t>
      </w:r>
    </w:p>
    <w:p>
      <w:pPr>
        <w:pStyle w:val="Heading1"/>
        <w:spacing w:after="160" w:before="320"/>
      </w:pPr>
      <w:r>
        <w:rPr>
          <w:b/>
          <w:bCs/>
          <w:sz w:val="28"/>
          <w:szCs w:val="28"/>
        </w:rPr>
        <w:t xml:space="preserve">3. Workstreams</w:t>
      </w:r>
    </w:p>
    <w:p>
      <w:pPr>
        <w:spacing w:after="120" w:before="0"/>
      </w:pPr>
      <w:r>
        <w:rPr>
          <w:sz w:val="22"/>
          <w:szCs w:val="22"/>
        </w:rPr>
        <w:t xml:space="preserve">The following is our current view of the areas the legal function needs to cover. It is not exhaustive, and we expect it to be challenged, added to, and reshaped.</w:t>
      </w:r>
    </w:p>
    <w:p>
      <w:pPr>
        <w:pStyle w:val="Heading2"/>
        <w:spacing w:after="120" w:before="240"/>
      </w:pPr>
      <w:r>
        <w:rPr>
          <w:b/>
          <w:bCs/>
          <w:sz w:val="24"/>
          <w:szCs w:val="24"/>
        </w:rPr>
        <w:t xml:space="preserve">3.1 Fundraising and corporate</w:t>
      </w:r>
    </w:p>
    <w:p>
      <w:pPr>
        <w:spacing w:after="80" w:before="0"/>
      </w:pPr>
      <w:r>
        <w:rPr>
          <w:sz w:val="22"/>
          <w:szCs w:val="22"/>
        </w:rPr>
        <w:t xml:space="preserve">Fundraising is a central workstream over the coming months. The legal component includes:</w:t>
      </w:r>
    </w:p>
    <w:p>
      <w:pPr>
        <w:pStyle w:val="ListParagraph"/>
        <w:numPr>
          <w:ilvl w:val="0"/>
          <w:numId w:val="2"/>
        </w:numPr>
        <w:spacing w:after="80"/>
      </w:pPr>
      <w:r>
        <w:rPr>
          <w:sz w:val="22"/>
          <w:szCs w:val="22"/>
        </w:rPr>
        <w:t xml:space="preserve">Legal documentation for the next equity round (subscription agreement, SHA, articles, disclosure letter, warranties) and data room preparation.</w:t>
      </w:r>
    </w:p>
    <w:p>
      <w:pPr>
        <w:pStyle w:val="ListParagraph"/>
        <w:numPr>
          <w:ilvl w:val="0"/>
          <w:numId w:val="2"/>
        </w:numPr>
        <w:spacing w:after="80"/>
      </w:pPr>
      <w:r>
        <w:rPr>
          <w:sz w:val="22"/>
          <w:szCs w:val="22"/>
        </w:rPr>
        <w:t xml:space="preserve">Conversion of outstanding convertible instruments and SAFEs into the next round.</w:t>
      </w:r>
    </w:p>
    <w:p>
      <w:pPr>
        <w:pStyle w:val="ListParagraph"/>
        <w:numPr>
          <w:ilvl w:val="0"/>
          <w:numId w:val="2"/>
        </w:numPr>
        <w:spacing w:after="80"/>
      </w:pPr>
      <w:r>
        <w:rPr>
          <w:sz w:val="22"/>
          <w:szCs w:val="22"/>
        </w:rPr>
        <w:t xml:space="preserve">A structurally complex loan position from one investor entity, where prior external advice has recommended novation to the UK HoldCo and folding into the round. A view from incoming counsel is needed on execution.</w:t>
      </w:r>
    </w:p>
    <w:p>
      <w:pPr>
        <w:pStyle w:val="ListParagraph"/>
        <w:numPr>
          <w:ilvl w:val="0"/>
          <w:numId w:val="2"/>
        </w:numPr>
        <w:spacing w:after="80"/>
      </w:pPr>
      <w:r>
        <w:rPr>
          <w:sz w:val="22"/>
          <w:szCs w:val="22"/>
        </w:rPr>
        <w:t xml:space="preserve">A check of existing corporate documentation (cap table records, option grants, convertible instruments, prior round paperwork) to confirm it is clean and defensible on a Series A diligence exercise; amendments to be made only where the check surfaces issues.</w:t>
      </w:r>
    </w:p>
    <w:p>
      <w:pPr>
        <w:pStyle w:val="ListParagraph"/>
        <w:numPr>
          <w:ilvl w:val="0"/>
          <w:numId w:val="2"/>
        </w:numPr>
        <w:spacing w:after="80"/>
      </w:pPr>
      <w:r>
        <w:rPr>
          <w:sz w:val="22"/>
          <w:szCs w:val="22"/>
        </w:rPr>
        <w:t xml:space="preserve">Stock option scheme: review of existing terms and confirmation of the appropriate UK structure going forward, including grant administration.</w:t>
      </w:r>
    </w:p>
    <w:p>
      <w:pPr>
        <w:pStyle w:val="ListParagraph"/>
        <w:numPr>
          <w:ilvl w:val="0"/>
          <w:numId w:val="2"/>
        </w:numPr>
        <w:spacing w:after="80"/>
      </w:pPr>
      <w:r>
        <w:rPr>
          <w:sz w:val="22"/>
          <w:szCs w:val="22"/>
        </w:rPr>
        <w:t xml:space="preserve">Coordination with investor-side counsel during the round.</w:t>
      </w:r>
    </w:p>
    <w:p>
      <w:pPr>
        <w:pStyle w:val="Heading2"/>
        <w:spacing w:after="120" w:before="240"/>
      </w:pPr>
      <w:r>
        <w:rPr>
          <w:b/>
          <w:bCs/>
          <w:sz w:val="24"/>
          <w:szCs w:val="24"/>
        </w:rPr>
        <w:t xml:space="preserve">3.2 Board, governance, and statutory records</w:t>
      </w:r>
    </w:p>
    <w:p>
      <w:pPr>
        <w:pStyle w:val="ListParagraph"/>
        <w:numPr>
          <w:ilvl w:val="0"/>
          <w:numId w:val="2"/>
        </w:numPr>
        <w:spacing w:after="80"/>
      </w:pPr>
      <w:r>
        <w:rPr>
          <w:sz w:val="22"/>
          <w:szCs w:val="22"/>
        </w:rPr>
        <w:t xml:space="preserve">Board composition across the group: the current arrangement needs to be reviewed and a view taken on whether it is appropriate going forward, including the implications of each role.</w:t>
      </w:r>
    </w:p>
    <w:p>
      <w:pPr>
        <w:pStyle w:val="ListParagraph"/>
        <w:numPr>
          <w:ilvl w:val="0"/>
          <w:numId w:val="2"/>
        </w:numPr>
        <w:spacing w:after="80"/>
      </w:pPr>
      <w:r>
        <w:rPr>
          <w:sz w:val="22"/>
          <w:szCs w:val="22"/>
        </w:rPr>
        <w:t xml:space="preserve">Directors’ duties: the founders act as directors of UK companies while being resident outside the UK. The scope of their duties under UK company law, how those duties are discharged in practice (including how and where board decisions are taken and documented), and the personal exposure that attaches to the role all need to be properly understood and supported.</w:t>
      </w:r>
    </w:p>
    <w:p>
      <w:pPr>
        <w:pStyle w:val="ListParagraph"/>
        <w:numPr>
          <w:ilvl w:val="0"/>
          <w:numId w:val="2"/>
        </w:numPr>
        <w:spacing w:after="80"/>
      </w:pPr>
      <w:r>
        <w:rPr>
          <w:sz w:val="22"/>
          <w:szCs w:val="22"/>
        </w:rPr>
        <w:t xml:space="preserve">Directors’ and officers’ (D&amp;O) insurance: review of current position, appropriate level and terms of cover for the group as it now sits, and alignment with the round and any new appointments that follow.</w:t>
      </w:r>
    </w:p>
    <w:p>
      <w:pPr>
        <w:pStyle w:val="ListParagraph"/>
        <w:numPr>
          <w:ilvl w:val="0"/>
          <w:numId w:val="2"/>
        </w:numPr>
        <w:spacing w:after="80"/>
      </w:pPr>
      <w:r>
        <w:rPr>
          <w:sz w:val="22"/>
          <w:szCs w:val="22"/>
        </w:rPr>
        <w:t xml:space="preserve">Board hygiene: board pack format, minutes, written resolutions, shareholder consents, and reserved matters mechanics under existing investor documentation.</w:t>
      </w:r>
    </w:p>
    <w:p>
      <w:pPr>
        <w:pStyle w:val="ListParagraph"/>
        <w:numPr>
          <w:ilvl w:val="0"/>
          <w:numId w:val="2"/>
        </w:numPr>
        <w:spacing w:after="80"/>
      </w:pPr>
      <w:r>
        <w:rPr>
          <w:sz w:val="22"/>
          <w:szCs w:val="22"/>
        </w:rPr>
        <w:t xml:space="preserve">Statutory registers and filings: members, directors, and PSC registers, Companies House filings, confirmation statements, and equivalent obligations for the entities in Greece and Cyprus, with a single view on what is and is not up to date.</w:t>
      </w:r>
    </w:p>
    <w:p>
      <w:pPr>
        <w:pStyle w:val="Heading2"/>
        <w:spacing w:after="120" w:before="240"/>
      </w:pPr>
      <w:r>
        <w:rPr>
          <w:b/>
          <w:bCs/>
          <w:sz w:val="24"/>
          <w:szCs w:val="24"/>
        </w:rPr>
        <w:t xml:space="preserve">3.3 Group structure and cross-border arrangements</w:t>
      </w:r>
    </w:p>
    <w:p>
      <w:pPr>
        <w:pStyle w:val="ListParagraph"/>
        <w:numPr>
          <w:ilvl w:val="0"/>
          <w:numId w:val="2"/>
        </w:numPr>
        <w:spacing w:after="80"/>
      </w:pPr>
      <w:r>
        <w:rPr>
          <w:sz w:val="22"/>
          <w:szCs w:val="22"/>
        </w:rPr>
        <w:t xml:space="preserve">Post-migration tidy-up following the move of operations and HoldCo from Cyprus to the UK: confirming contracts, IP, and intercompany arrangements migrated cleanly.</w:t>
      </w:r>
    </w:p>
    <w:p>
      <w:pPr>
        <w:pStyle w:val="ListParagraph"/>
        <w:numPr>
          <w:ilvl w:val="0"/>
          <w:numId w:val="2"/>
        </w:numPr>
        <w:spacing w:after="80"/>
      </w:pPr>
      <w:r>
        <w:rPr>
          <w:sz w:val="22"/>
          <w:szCs w:val="22"/>
        </w:rPr>
        <w:t xml:space="preserve">Intercompany agreements between the UK HoldCo, UK OpCo, Cypriot entity, and Greek entity, including services agreements and IP licensing flows.</w:t>
      </w:r>
    </w:p>
    <w:p>
      <w:pPr>
        <w:pStyle w:val="ListParagraph"/>
        <w:numPr>
          <w:ilvl w:val="0"/>
          <w:numId w:val="2"/>
        </w:numPr>
        <w:spacing w:after="80"/>
      </w:pPr>
      <w:r>
        <w:rPr>
          <w:sz w:val="22"/>
          <w:szCs w:val="22"/>
        </w:rPr>
        <w:t xml:space="preserve">Ongoing assessment of whether the group structure remains fit for purpose or whether further consolidation is appropriate ahead of the next round.</w:t>
      </w:r>
    </w:p>
    <w:p>
      <w:pPr>
        <w:pStyle w:val="Heading2"/>
        <w:spacing w:after="120" w:before="240"/>
      </w:pPr>
      <w:r>
        <w:rPr>
          <w:b/>
          <w:bCs/>
          <w:sz w:val="24"/>
          <w:szCs w:val="24"/>
        </w:rPr>
        <w:t xml:space="preserve">3.4 People, employment, and contractors</w:t>
      </w:r>
    </w:p>
    <w:p>
      <w:pPr>
        <w:pStyle w:val="ListParagraph"/>
        <w:numPr>
          <w:ilvl w:val="0"/>
          <w:numId w:val="2"/>
        </w:numPr>
        <w:spacing w:after="80"/>
      </w:pPr>
      <w:r>
        <w:rPr>
          <w:sz w:val="22"/>
          <w:szCs w:val="22"/>
        </w:rPr>
        <w:t xml:space="preserve">IR35: known risk exposure across existing UK contractor arrangements. Assessment and remediation needed.</w:t>
      </w:r>
    </w:p>
    <w:p>
      <w:pPr>
        <w:pStyle w:val="ListParagraph"/>
        <w:numPr>
          <w:ilvl w:val="0"/>
          <w:numId w:val="2"/>
        </w:numPr>
        <w:spacing w:after="80"/>
      </w:pPr>
      <w:r>
        <w:rPr>
          <w:sz w:val="22"/>
          <w:szCs w:val="22"/>
        </w:rPr>
        <w:t xml:space="preserve">Employment frameworks for UK-based employees: contracts, handbook, and internal policies (including AI usage, data handling, IP assignment, confidentiality, and leaver provisions).</w:t>
      </w:r>
    </w:p>
    <w:p>
      <w:pPr>
        <w:pStyle w:val="ListParagraph"/>
        <w:numPr>
          <w:ilvl w:val="0"/>
          <w:numId w:val="2"/>
        </w:numPr>
        <w:spacing w:after="80"/>
      </w:pPr>
      <w:r>
        <w:rPr>
          <w:sz w:val="22"/>
          <w:szCs w:val="22"/>
        </w:rPr>
        <w:t xml:space="preserve">UK contractor frameworks: consultancy agreements with proper IP assignment, confidentiality, and termination mechanics.</w:t>
      </w:r>
    </w:p>
    <w:p>
      <w:pPr>
        <w:pStyle w:val="ListParagraph"/>
        <w:numPr>
          <w:ilvl w:val="0"/>
          <w:numId w:val="2"/>
        </w:numPr>
        <w:spacing w:after="80"/>
      </w:pPr>
      <w:r>
        <w:rPr>
          <w:sz w:val="22"/>
          <w:szCs w:val="22"/>
        </w:rPr>
        <w:t xml:space="preserve">International contractor arrangements: contractors in jurisdictions where direct employment is not available to us. A defensible approach is needed, whether via Employer of Record, locally compliant contractor agreements, or other structures.</w:t>
      </w:r>
    </w:p>
    <w:p>
      <w:pPr>
        <w:pStyle w:val="ListParagraph"/>
        <w:numPr>
          <w:ilvl w:val="0"/>
          <w:numId w:val="2"/>
        </w:numPr>
        <w:spacing w:after="80"/>
      </w:pPr>
      <w:r>
        <w:rPr>
          <w:sz w:val="22"/>
          <w:szCs w:val="22"/>
        </w:rPr>
        <w:t xml:space="preserve">Support on occasions where agreements are being presented to counterparties (employees, contractors, partners) who may need a plain-language explanation to feel comfortable signing. This is an occasional need rather than a constant one, but the ability to provide it matters.</w:t>
      </w:r>
    </w:p>
    <w:p>
      <w:pPr>
        <w:pStyle w:val="Heading2"/>
        <w:spacing w:after="120" w:before="240"/>
      </w:pPr>
      <w:r>
        <w:rPr>
          <w:b/>
          <w:bCs/>
          <w:sz w:val="24"/>
          <w:szCs w:val="24"/>
        </w:rPr>
        <w:t xml:space="preserve">3.5 Commercial agreements and platform operations</w:t>
      </w:r>
    </w:p>
    <w:p>
      <w:pPr>
        <w:pStyle w:val="ListParagraph"/>
        <w:numPr>
          <w:ilvl w:val="0"/>
          <w:numId w:val="2"/>
        </w:numPr>
        <w:spacing w:after="80"/>
      </w:pPr>
      <w:r>
        <w:rPr>
          <w:sz w:val="22"/>
          <w:szCs w:val="22"/>
        </w:rPr>
        <w:t xml:space="preserve">Partner agreements: review and negotiation of agreements with games, studios, and platform partners, including revenue-sharing arrangements for sales of games and in-platform commerce.</w:t>
      </w:r>
    </w:p>
    <w:p>
      <w:pPr>
        <w:pStyle w:val="ListParagraph"/>
        <w:numPr>
          <w:ilvl w:val="0"/>
          <w:numId w:val="2"/>
        </w:numPr>
        <w:spacing w:after="80"/>
      </w:pPr>
      <w:r>
        <w:rPr>
          <w:sz w:val="22"/>
          <w:szCs w:val="22"/>
        </w:rPr>
        <w:t xml:space="preserve">User-facing terms: platform terms of service, EULA, community guidelines, acceptable use, refund and dispute policies.</w:t>
      </w:r>
    </w:p>
    <w:p>
      <w:pPr>
        <w:pStyle w:val="ListParagraph"/>
        <w:numPr>
          <w:ilvl w:val="0"/>
          <w:numId w:val="2"/>
        </w:numPr>
        <w:spacing w:after="80"/>
      </w:pPr>
      <w:r>
        <w:rPr>
          <w:sz w:val="22"/>
          <w:szCs w:val="22"/>
        </w:rPr>
        <w:t xml:space="preserve">Software licensing in: third-party software, middleware, engines, and SaaS used in product development and operations.</w:t>
      </w:r>
    </w:p>
    <w:p>
      <w:pPr>
        <w:pStyle w:val="ListParagraph"/>
        <w:numPr>
          <w:ilvl w:val="0"/>
          <w:numId w:val="2"/>
        </w:numPr>
        <w:spacing w:after="80"/>
      </w:pPr>
      <w:r>
        <w:rPr>
          <w:sz w:val="22"/>
          <w:szCs w:val="22"/>
        </w:rPr>
        <w:t xml:space="preserve">Software licensing and IP flows out: what we license to partners, and the rights we obtain from contractors and third parties whose work contributes to the product.</w:t>
      </w:r>
    </w:p>
    <w:p>
      <w:pPr>
        <w:pStyle w:val="ListParagraph"/>
        <w:numPr>
          <w:ilvl w:val="0"/>
          <w:numId w:val="2"/>
        </w:numPr>
        <w:spacing w:after="80"/>
      </w:pPr>
      <w:r>
        <w:rPr>
          <w:sz w:val="22"/>
          <w:szCs w:val="22"/>
        </w:rPr>
        <w:t xml:space="preserve">Promotional and marketing arrangements: reward mechanics, cross-promotional deals with other games or brands, and discounts on third-party products offered as part of platform features.</w:t>
      </w:r>
    </w:p>
    <w:p>
      <w:pPr>
        <w:pStyle w:val="Heading2"/>
        <w:spacing w:after="120" w:before="240"/>
      </w:pPr>
      <w:r>
        <w:rPr>
          <w:b/>
          <w:bCs/>
          <w:sz w:val="24"/>
          <w:szCs w:val="24"/>
        </w:rPr>
        <w:t xml:space="preserve">3.6 Marketing, advertising, and influencer compliance</w:t>
      </w:r>
    </w:p>
    <w:p>
      <w:pPr>
        <w:pStyle w:val="ListParagraph"/>
        <w:numPr>
          <w:ilvl w:val="0"/>
          <w:numId w:val="2"/>
        </w:numPr>
        <w:spacing w:after="80"/>
      </w:pPr>
      <w:r>
        <w:rPr>
          <w:sz w:val="22"/>
          <w:szCs w:val="22"/>
        </w:rPr>
        <w:t xml:space="preserve">Advertising and promotional content: compliance with applicable advertising standards and consumer protection rules in the territories where the platform and its marketing are active.</w:t>
      </w:r>
    </w:p>
    <w:p>
      <w:pPr>
        <w:pStyle w:val="ListParagraph"/>
        <w:numPr>
          <w:ilvl w:val="0"/>
          <w:numId w:val="2"/>
        </w:numPr>
        <w:spacing w:after="80"/>
      </w:pPr>
      <w:r>
        <w:rPr>
          <w:sz w:val="22"/>
          <w:szCs w:val="22"/>
        </w:rPr>
        <w:t xml:space="preserve">Influencer and creator partnerships: contractual frameworks for paid collaborations, disclosure obligations, and IP and content use rights.</w:t>
      </w:r>
    </w:p>
    <w:p>
      <w:pPr>
        <w:pStyle w:val="ListParagraph"/>
        <w:numPr>
          <w:ilvl w:val="0"/>
          <w:numId w:val="2"/>
        </w:numPr>
        <w:spacing w:after="80"/>
      </w:pPr>
      <w:r>
        <w:rPr>
          <w:sz w:val="22"/>
          <w:szCs w:val="22"/>
        </w:rPr>
        <w:t xml:space="preserve">User acquisition campaigns, referral mechanics, and any promotional claims made about the platform, its partners, or its content.</w:t>
      </w:r>
    </w:p>
    <w:p>
      <w:pPr>
        <w:pStyle w:val="ListParagraph"/>
        <w:numPr>
          <w:ilvl w:val="0"/>
          <w:numId w:val="2"/>
        </w:numPr>
        <w:spacing w:after="80"/>
      </w:pPr>
      <w:r>
        <w:rPr>
          <w:sz w:val="22"/>
          <w:szCs w:val="22"/>
        </w:rPr>
        <w:t xml:space="preserve">Press, PR, and public communications: a standing framework for reviewing material that goes out under the Couch Heroes name, where legal sensitivity may be involved.</w:t>
      </w:r>
    </w:p>
    <w:p>
      <w:pPr>
        <w:pStyle w:val="Heading2"/>
        <w:spacing w:after="120" w:before="240"/>
      </w:pPr>
      <w:r>
        <w:rPr>
          <w:b/>
          <w:bCs/>
          <w:sz w:val="24"/>
          <w:szCs w:val="24"/>
        </w:rPr>
        <w:t xml:space="preserve">3.7 Regulated and quasi-regulated platform features</w:t>
      </w:r>
    </w:p>
    <w:p>
      <w:pPr>
        <w:spacing w:after="80" w:before="0"/>
      </w:pPr>
      <w:r>
        <w:rPr>
          <w:sz w:val="22"/>
          <w:szCs w:val="22"/>
        </w:rPr>
        <w:t xml:space="preserve">Several planned or contemplated platform features sit in regulated or quasi-regulated territory and need to be scoped before they go live. A view is needed on licensing, compliance position, and appropriate structures for each:</w:t>
      </w:r>
    </w:p>
    <w:p>
      <w:pPr>
        <w:pStyle w:val="ListParagraph"/>
        <w:numPr>
          <w:ilvl w:val="0"/>
          <w:numId w:val="2"/>
        </w:numPr>
        <w:spacing w:after="80"/>
      </w:pPr>
      <w:r>
        <w:rPr>
          <w:sz w:val="22"/>
          <w:szCs w:val="22"/>
        </w:rPr>
        <w:t xml:space="preserve">In-game currencies and the handling of any in-platform value: the approach here has not yet been decided. A strategy needs to be developed, and legal input on the available options, their implications, and the appropriate structures is a core part of that exercise.</w:t>
      </w:r>
    </w:p>
    <w:p>
      <w:pPr>
        <w:pStyle w:val="ListParagraph"/>
        <w:numPr>
          <w:ilvl w:val="0"/>
          <w:numId w:val="2"/>
        </w:numPr>
        <w:spacing w:after="80"/>
      </w:pPr>
      <w:r>
        <w:rPr>
          <w:sz w:val="22"/>
          <w:szCs w:val="22"/>
        </w:rPr>
        <w:t xml:space="preserve">Discounts on third-party products offered through the platform.</w:t>
      </w:r>
    </w:p>
    <w:p>
      <w:pPr>
        <w:pStyle w:val="ListParagraph"/>
        <w:numPr>
          <w:ilvl w:val="0"/>
          <w:numId w:val="2"/>
        </w:numPr>
        <w:spacing w:after="80"/>
      </w:pPr>
      <w:r>
        <w:rPr>
          <w:sz w:val="22"/>
          <w:szCs w:val="22"/>
        </w:rPr>
        <w:t xml:space="preserve">Promotional rewards, prize mechanics, and giveaways.</w:t>
      </w:r>
    </w:p>
    <w:p>
      <w:pPr>
        <w:pStyle w:val="ListParagraph"/>
        <w:numPr>
          <w:ilvl w:val="0"/>
          <w:numId w:val="2"/>
        </w:numPr>
        <w:spacing w:after="80"/>
      </w:pPr>
      <w:r>
        <w:rPr>
          <w:sz w:val="22"/>
          <w:szCs w:val="22"/>
        </w:rPr>
        <w:t xml:space="preserve">Age-gating, child safety, and any obligations applicable to platforms with social features.</w:t>
      </w:r>
    </w:p>
    <w:p>
      <w:pPr>
        <w:pStyle w:val="Heading2"/>
        <w:spacing w:after="120" w:before="240"/>
      </w:pPr>
      <w:r>
        <w:rPr>
          <w:b/>
          <w:bCs/>
          <w:sz w:val="24"/>
          <w:szCs w:val="24"/>
        </w:rPr>
        <w:t xml:space="preserve">3.8 Data protection and privacy</w:t>
      </w:r>
    </w:p>
    <w:p>
      <w:pPr>
        <w:pStyle w:val="ListParagraph"/>
        <w:numPr>
          <w:ilvl w:val="0"/>
          <w:numId w:val="2"/>
        </w:numPr>
        <w:spacing w:after="80"/>
      </w:pPr>
      <w:r>
        <w:rPr>
          <w:sz w:val="22"/>
          <w:szCs w:val="22"/>
        </w:rPr>
        <w:t xml:space="preserve">Full UK GDPR and EU GDPR compliance review across the group, including controller/processor mapping, lawful basis analysis, and records of processing activities.</w:t>
      </w:r>
    </w:p>
    <w:p>
      <w:pPr>
        <w:pStyle w:val="ListParagraph"/>
        <w:numPr>
          <w:ilvl w:val="0"/>
          <w:numId w:val="2"/>
        </w:numPr>
        <w:spacing w:after="80"/>
      </w:pPr>
      <w:r>
        <w:rPr>
          <w:sz w:val="22"/>
          <w:szCs w:val="22"/>
        </w:rPr>
        <w:t xml:space="preserve">Privacy notice and cookie compliance for the platform.</w:t>
      </w:r>
    </w:p>
    <w:p>
      <w:pPr>
        <w:pStyle w:val="ListParagraph"/>
        <w:numPr>
          <w:ilvl w:val="0"/>
          <w:numId w:val="2"/>
        </w:numPr>
        <w:spacing w:after="80"/>
      </w:pPr>
      <w:r>
        <w:rPr>
          <w:sz w:val="22"/>
          <w:szCs w:val="22"/>
        </w:rPr>
        <w:t xml:space="preserve">Data Subject Access Request process and template responses.</w:t>
      </w:r>
    </w:p>
    <w:p>
      <w:pPr>
        <w:pStyle w:val="ListParagraph"/>
        <w:numPr>
          <w:ilvl w:val="0"/>
          <w:numId w:val="2"/>
        </w:numPr>
        <w:spacing w:after="80"/>
      </w:pPr>
      <w:r>
        <w:rPr>
          <w:sz w:val="22"/>
          <w:szCs w:val="22"/>
        </w:rPr>
        <w:t xml:space="preserve">International data transfer mechanisms for contractor, partner, and user data flows.</w:t>
      </w:r>
    </w:p>
    <w:p>
      <w:pPr>
        <w:pStyle w:val="ListParagraph"/>
        <w:numPr>
          <w:ilvl w:val="0"/>
          <w:numId w:val="2"/>
        </w:numPr>
        <w:spacing w:after="80"/>
      </w:pPr>
      <w:r>
        <w:rPr>
          <w:sz w:val="22"/>
          <w:szCs w:val="22"/>
        </w:rPr>
        <w:t xml:space="preserve">Data processing agreements with third-party processors (cloud, analytics, payments, marketing).</w:t>
      </w:r>
    </w:p>
    <w:p>
      <w:pPr>
        <w:pStyle w:val="ListParagraph"/>
        <w:numPr>
          <w:ilvl w:val="0"/>
          <w:numId w:val="2"/>
        </w:numPr>
        <w:spacing w:after="80"/>
      </w:pPr>
      <w:r>
        <w:rPr>
          <w:sz w:val="22"/>
          <w:szCs w:val="22"/>
        </w:rPr>
        <w:t xml:space="preserve">Approach to any under-18 users, including age verification, where relevant to the platform.</w:t>
      </w:r>
    </w:p>
    <w:p>
      <w:pPr>
        <w:pStyle w:val="Heading2"/>
        <w:spacing w:after="120" w:before="240"/>
      </w:pPr>
      <w:r>
        <w:rPr>
          <w:b/>
          <w:bCs/>
          <w:sz w:val="24"/>
          <w:szCs w:val="24"/>
        </w:rPr>
        <w:t xml:space="preserve">3.9 Intellectual property</w:t>
      </w:r>
    </w:p>
    <w:p>
      <w:pPr>
        <w:spacing w:after="80" w:before="0"/>
      </w:pPr>
      <w:r>
        <w:rPr>
          <w:sz w:val="22"/>
          <w:szCs w:val="22"/>
        </w:rPr>
        <w:t xml:space="preserve">IP work to date has been minimal. That is appropriate for our current stage but means there is foundational work to do:</w:t>
      </w:r>
    </w:p>
    <w:p>
      <w:pPr>
        <w:pStyle w:val="ListParagraph"/>
        <w:numPr>
          <w:ilvl w:val="0"/>
          <w:numId w:val="2"/>
        </w:numPr>
        <w:spacing w:after="80"/>
      </w:pPr>
      <w:r>
        <w:rPr>
          <w:sz w:val="22"/>
          <w:szCs w:val="22"/>
        </w:rPr>
        <w:t xml:space="preserve">IP audit and confirmation that we own, or have appropriate rights in, all IP created to date by founders, employees, contractors (UK and international), and external service providers. This is particularly important given the migration of the group from Cyprus to the UK.</w:t>
      </w:r>
    </w:p>
    <w:p>
      <w:pPr>
        <w:pStyle w:val="ListParagraph"/>
        <w:numPr>
          <w:ilvl w:val="0"/>
          <w:numId w:val="2"/>
        </w:numPr>
        <w:spacing w:after="80"/>
      </w:pPr>
      <w:r>
        <w:rPr>
          <w:sz w:val="22"/>
          <w:szCs w:val="22"/>
        </w:rPr>
        <w:t xml:space="preserve">Trademark strategy and filings for the Couch Heroes brand and core product marks across priority territories.</w:t>
      </w:r>
    </w:p>
    <w:p>
      <w:pPr>
        <w:pStyle w:val="ListParagraph"/>
        <w:numPr>
          <w:ilvl w:val="0"/>
          <w:numId w:val="2"/>
        </w:numPr>
        <w:spacing w:after="80"/>
      </w:pPr>
      <w:r>
        <w:rPr>
          <w:sz w:val="22"/>
          <w:szCs w:val="22"/>
        </w:rPr>
        <w:t xml:space="preserve">Standard IP assignment language built into all employment and contractor agreements going forward, with backfill assignments for historical contributors where necessary.</w:t>
      </w:r>
    </w:p>
    <w:p>
      <w:pPr>
        <w:pStyle w:val="ListParagraph"/>
        <w:numPr>
          <w:ilvl w:val="0"/>
          <w:numId w:val="2"/>
        </w:numPr>
        <w:spacing w:after="80"/>
      </w:pPr>
      <w:r>
        <w:rPr>
          <w:sz w:val="22"/>
          <w:szCs w:val="22"/>
        </w:rPr>
        <w:t xml:space="preserve">Treatment of user-generated and creator content on the platform: ownership, moderation rights, takedown processes.</w:t>
      </w:r>
    </w:p>
    <w:p>
      <w:pPr>
        <w:pStyle w:val="Heading2"/>
        <w:spacing w:after="120" w:before="240"/>
      </w:pPr>
      <w:r>
        <w:rPr>
          <w:b/>
          <w:bCs/>
          <w:sz w:val="24"/>
          <w:szCs w:val="24"/>
        </w:rPr>
        <w:t xml:space="preserve">3.10 VGDR / creative sector reliefs (legal-side support)</w:t>
      </w:r>
    </w:p>
    <w:p>
      <w:pPr>
        <w:spacing w:after="80" w:before="0"/>
      </w:pPr>
      <w:r>
        <w:rPr>
          <w:sz w:val="22"/>
          <w:szCs w:val="22"/>
        </w:rPr>
        <w:t xml:space="preserve">The Video Games Expenditure Credit claim is led by our finance function, with external tax advisers engaged for the tax-side work. Legal support is needed on the structural and documentation side:</w:t>
      </w:r>
    </w:p>
    <w:p>
      <w:pPr>
        <w:pStyle w:val="ListParagraph"/>
        <w:numPr>
          <w:ilvl w:val="0"/>
          <w:numId w:val="2"/>
        </w:numPr>
        <w:spacing w:after="80"/>
      </w:pPr>
      <w:r>
        <w:rPr>
          <w:sz w:val="22"/>
          <w:szCs w:val="22"/>
        </w:rPr>
        <w:t xml:space="preserve">Confirmation that qualifying expenditure sits in the correct entity and that contractual flows support that position.</w:t>
      </w:r>
    </w:p>
    <w:p>
      <w:pPr>
        <w:pStyle w:val="ListParagraph"/>
        <w:numPr>
          <w:ilvl w:val="0"/>
          <w:numId w:val="2"/>
        </w:numPr>
        <w:spacing w:after="80"/>
      </w:pPr>
      <w:r>
        <w:rPr>
          <w:sz w:val="22"/>
          <w:szCs w:val="22"/>
        </w:rPr>
        <w:t xml:space="preserve">Review of intercompany arrangements and contractor agreements to ensure consistency with the claim structure.</w:t>
      </w:r>
    </w:p>
    <w:p>
      <w:pPr>
        <w:pStyle w:val="ListParagraph"/>
        <w:numPr>
          <w:ilvl w:val="0"/>
          <w:numId w:val="2"/>
        </w:numPr>
        <w:spacing w:after="80"/>
      </w:pPr>
      <w:r>
        <w:rPr>
          <w:sz w:val="22"/>
          <w:szCs w:val="22"/>
        </w:rPr>
        <w:t xml:space="preserve">Coordination with the tax-side advisers on the legal documentation underpinning the claim.</w:t>
      </w:r>
    </w:p>
    <w:p>
      <w:pPr>
        <w:pStyle w:val="Heading2"/>
        <w:spacing w:after="120" w:before="240"/>
      </w:pPr>
      <w:r>
        <w:rPr>
          <w:b/>
          <w:bCs/>
          <w:sz w:val="24"/>
          <w:szCs w:val="24"/>
        </w:rPr>
        <w:t xml:space="preserve">3.11 AI usage and emerging tech policies</w:t>
      </w:r>
    </w:p>
    <w:p>
      <w:pPr>
        <w:pStyle w:val="ListParagraph"/>
        <w:numPr>
          <w:ilvl w:val="0"/>
          <w:numId w:val="2"/>
        </w:numPr>
        <w:spacing w:after="80"/>
      </w:pPr>
      <w:r>
        <w:rPr>
          <w:sz w:val="22"/>
          <w:szCs w:val="22"/>
        </w:rPr>
        <w:t xml:space="preserve">Internal AI usage policy: approved tools, data that can be input, IP and confidentiality implications, and review obligations on AI-assisted output.</w:t>
      </w:r>
    </w:p>
    <w:p>
      <w:pPr>
        <w:pStyle w:val="ListParagraph"/>
        <w:numPr>
          <w:ilvl w:val="0"/>
          <w:numId w:val="2"/>
        </w:numPr>
        <w:spacing w:after="80"/>
      </w:pPr>
      <w:r>
        <w:rPr>
          <w:sz w:val="22"/>
          <w:szCs w:val="22"/>
        </w:rPr>
        <w:t xml:space="preserve">AI in product, where incorporated: liability allocation, training data provenance, and user-facing disclosures.</w:t>
      </w:r>
    </w:p>
    <w:p>
      <w:pPr>
        <w:pStyle w:val="ListParagraph"/>
        <w:numPr>
          <w:ilvl w:val="0"/>
          <w:numId w:val="2"/>
        </w:numPr>
        <w:spacing w:after="80"/>
      </w:pPr>
      <w:r>
        <w:rPr>
          <w:sz w:val="22"/>
          <w:szCs w:val="22"/>
        </w:rPr>
        <w:t xml:space="preserve">AI vendor agreements: terms governing data use, IP ownership of outputs, and indemnities.</w:t>
      </w:r>
    </w:p>
    <w:p>
      <w:pPr>
        <w:pStyle w:val="Heading2"/>
        <w:spacing w:after="120" w:before="240"/>
      </w:pPr>
      <w:r>
        <w:rPr>
          <w:b/>
          <w:bCs/>
          <w:sz w:val="24"/>
          <w:szCs w:val="24"/>
        </w:rPr>
        <w:t xml:space="preserve">3.12 Insurance coverage review</w:t>
      </w:r>
    </w:p>
    <w:p>
      <w:pPr>
        <w:pStyle w:val="ListParagraph"/>
        <w:numPr>
          <w:ilvl w:val="0"/>
          <w:numId w:val="2"/>
        </w:numPr>
        <w:spacing w:after="80"/>
      </w:pPr>
      <w:r>
        <w:rPr>
          <w:sz w:val="22"/>
          <w:szCs w:val="22"/>
        </w:rPr>
        <w:t xml:space="preserve">A review of the group’s current insurance position and whether the cover in place is appropriate for the business as it now sits, including directors’ and officers’, cyber, professional indemnity, employer’s liability, and any product or platform-specific cover relevant to the platform.</w:t>
      </w:r>
    </w:p>
    <w:p>
      <w:pPr>
        <w:pStyle w:val="ListParagraph"/>
        <w:numPr>
          <w:ilvl w:val="0"/>
          <w:numId w:val="2"/>
        </w:numPr>
        <w:spacing w:after="80"/>
      </w:pPr>
      <w:r>
        <w:rPr>
          <w:sz w:val="22"/>
          <w:szCs w:val="22"/>
        </w:rPr>
        <w:t xml:space="preserve">Coordination with the broker on the legal-side inputs where coverage questions arise, and on alignment of policies with contractual liability positions taken in commercial agreements.</w:t>
      </w:r>
    </w:p>
    <w:p>
      <w:pPr>
        <w:pStyle w:val="Heading2"/>
        <w:spacing w:after="120" w:before="240"/>
      </w:pPr>
      <w:r>
        <w:rPr>
          <w:b/>
          <w:bCs/>
          <w:sz w:val="24"/>
          <w:szCs w:val="24"/>
        </w:rPr>
        <w:t xml:space="preserve">3.13 Ongoing and ad hoc matters</w:t>
      </w:r>
    </w:p>
    <w:p>
      <w:pPr>
        <w:pStyle w:val="ListParagraph"/>
        <w:numPr>
          <w:ilvl w:val="0"/>
          <w:numId w:val="2"/>
        </w:numPr>
        <w:spacing w:after="80"/>
      </w:pPr>
      <w:r>
        <w:rPr>
          <w:sz w:val="22"/>
          <w:szCs w:val="22"/>
        </w:rPr>
        <w:t xml:space="preserve">Matters that surface in the ordinary course of running the business, including occasional regulatory, tax, or compliance questions where a legal view is needed alongside the relevant specialist (for example, HMRC correspondence or similar enquiries).</w:t>
      </w:r>
    </w:p>
    <w:p>
      <w:pPr>
        <w:pStyle w:val="ListParagraph"/>
        <w:numPr>
          <w:ilvl w:val="0"/>
          <w:numId w:val="2"/>
        </w:numPr>
        <w:spacing w:after="80"/>
      </w:pPr>
      <w:r>
        <w:rPr>
          <w:sz w:val="22"/>
          <w:szCs w:val="22"/>
        </w:rPr>
        <w:t xml:space="preserve">Horizon scanning for regulatory and legal developments relevant to the business and flagging of issues we should be thinking about before they become urgent.</w:t>
      </w:r>
    </w:p>
    <w:p>
      <w:pPr>
        <w:pStyle w:val="Heading1"/>
        <w:spacing w:after="160" w:before="320"/>
      </w:pPr>
      <w:r>
        <w:rPr>
          <w:b/>
          <w:bCs/>
          <w:sz w:val="28"/>
          <w:szCs w:val="28"/>
        </w:rPr>
        <w:t xml:space="preserve">4. Shareholder context</w:t>
      </w:r>
    </w:p>
    <w:p>
      <w:pPr>
        <w:spacing w:after="120" w:before="0"/>
      </w:pPr>
      <w:r>
        <w:rPr>
          <w:sz w:val="22"/>
          <w:szCs w:val="22"/>
        </w:rPr>
        <w:t xml:space="preserve">A material part of Couch Heroes’ equity is held by interests connected to the Vardinogiannis family. Their interests are represented through professional advisers who are appropriately protective of the family’s position and exposure, which is a normal feature of working with a family office of this profile.</w:t>
      </w:r>
    </w:p>
    <w:p>
      <w:pPr>
        <w:spacing w:after="120" w:before="80"/>
      </w:pPr>
      <w:r>
        <w:rPr>
          <w:sz w:val="22"/>
          <w:szCs w:val="22"/>
        </w:rPr>
        <w:t xml:space="preserve">Practically, this means that some matters move through their advisers before they can progress, that information flow about their related entities is controlled by their preference, and that pace and information availability can be affected accordingly. This context is relevant when scoping and sequencing legal work, particularly on fundraising and any matter touching the family’s investor entities.</w:t>
      </w:r>
    </w:p>
    <w:p>
      <w:pPr>
        <w:pStyle w:val="Heading1"/>
        <w:spacing w:after="160" w:before="320"/>
      </w:pPr>
      <w:r>
        <w:rPr>
          <w:b/>
          <w:bCs/>
          <w:sz w:val="28"/>
          <w:szCs w:val="28"/>
        </w:rPr>
        <w:t xml:space="preserve">5. What the engagement needs to deliver</w:t>
      </w:r>
    </w:p>
    <w:p>
      <w:pPr>
        <w:spacing w:after="80" w:before="0"/>
      </w:pPr>
      <w:r>
        <w:rPr>
          <w:sz w:val="22"/>
          <w:szCs w:val="22"/>
        </w:rPr>
        <w:t xml:space="preserve">Beyond the individual workstreams, the qualities that matter most to Couch Heroes at this stage are:</w:t>
      </w:r>
    </w:p>
    <w:p>
      <w:pPr>
        <w:pStyle w:val="ListParagraph"/>
        <w:numPr>
          <w:ilvl w:val="0"/>
          <w:numId w:val="2"/>
        </w:numPr>
        <w:spacing w:after="80"/>
      </w:pPr>
      <w:r>
        <w:rPr>
          <w:b/>
          <w:bCs/>
          <w:sz w:val="22"/>
          <w:szCs w:val="22"/>
        </w:rPr>
        <w:t xml:space="preserve">Proactivity. </w:t>
      </w:r>
      <w:r>
        <w:rPr>
          <w:sz w:val="22"/>
          <w:szCs w:val="22"/>
        </w:rPr>
        <w:t xml:space="preserve">The legal function needs to identify where work is required rather than wait to be asked. A large part of the current gap is the absence of someone whose job it is to look.</w:t>
      </w:r>
    </w:p>
    <w:p>
      <w:pPr>
        <w:pStyle w:val="ListParagraph"/>
        <w:numPr>
          <w:ilvl w:val="0"/>
          <w:numId w:val="2"/>
        </w:numPr>
        <w:spacing w:after="80"/>
      </w:pPr>
      <w:r>
        <w:rPr>
          <w:b/>
          <w:bCs/>
          <w:sz w:val="22"/>
          <w:szCs w:val="22"/>
        </w:rPr>
        <w:t xml:space="preserve">Plain-language translation. </w:t>
      </w:r>
      <w:r>
        <w:rPr>
          <w:sz w:val="22"/>
          <w:szCs w:val="22"/>
        </w:rPr>
        <w:t xml:space="preserve">The ability, when needed, to help turn legal positions into something non-legal counterparties can understand and feel comfortable with.</w:t>
      </w:r>
    </w:p>
    <w:p>
      <w:pPr>
        <w:pStyle w:val="ListParagraph"/>
        <w:numPr>
          <w:ilvl w:val="0"/>
          <w:numId w:val="2"/>
        </w:numPr>
        <w:spacing w:after="80"/>
      </w:pPr>
      <w:r>
        <w:rPr>
          <w:b/>
          <w:bCs/>
          <w:sz w:val="22"/>
          <w:szCs w:val="22"/>
        </w:rPr>
        <w:t xml:space="preserve">A central legal point. </w:t>
      </w:r>
      <w:r>
        <w:rPr>
          <w:sz w:val="22"/>
          <w:szCs w:val="22"/>
        </w:rPr>
        <w:t xml:space="preserve">Over time, the engagement should become the single legal reference point for the business, absorbing work currently distributed across multiple external providers.</w:t>
      </w:r>
    </w:p>
    <w:p>
      <w:pPr>
        <w:pStyle w:val="ListParagraph"/>
        <w:numPr>
          <w:ilvl w:val="0"/>
          <w:numId w:val="2"/>
        </w:numPr>
        <w:spacing w:after="80"/>
      </w:pPr>
      <w:r>
        <w:rPr>
          <w:b/>
          <w:bCs/>
          <w:sz w:val="22"/>
          <w:szCs w:val="22"/>
        </w:rPr>
        <w:t xml:space="preserve">Pragmatic judgment. </w:t>
      </w:r>
      <w:r>
        <w:rPr>
          <w:sz w:val="22"/>
          <w:szCs w:val="22"/>
        </w:rPr>
        <w:t xml:space="preserve">Couch Heroes is an alpha-stage business with finite resources. We need a view on which gaps matter now, which can wait, and which can be accepted as managed risks.</w:t>
      </w:r>
    </w:p>
    <w:p>
      <w:pPr>
        <w:pStyle w:val="ListParagraph"/>
        <w:numPr>
          <w:ilvl w:val="0"/>
          <w:numId w:val="2"/>
        </w:numPr>
        <w:spacing w:after="80"/>
      </w:pPr>
      <w:r>
        <w:rPr>
          <w:b/>
          <w:bCs/>
          <w:sz w:val="22"/>
          <w:szCs w:val="22"/>
        </w:rPr>
        <w:t xml:space="preserve">Visibility. </w:t>
      </w:r>
      <w:r>
        <w:rPr>
          <w:sz w:val="22"/>
          <w:szCs w:val="22"/>
        </w:rPr>
        <w:t xml:space="preserve">Regular, concise updates on what is being worked on, what is coming, and what the business should be deciding.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Couch Heroes - Legal Function Briefing</dc:title>
  <dc:creator>Couch Heroes</dc:creator>
  <cp:lastModifiedBy>Un-named</cp:lastModifiedBy>
  <cp:revision>1</cp:revision>
  <dcterms:created xsi:type="dcterms:W3CDTF">2026-04-23T15:02:16.928Z</dcterms:created>
  <dcterms:modified xsi:type="dcterms:W3CDTF">2026-04-23T15:02:16.929Z</dcterms:modified>
</cp:coreProperties>
</file>

<file path=docProps/custom.xml><?xml version="1.0" encoding="utf-8"?>
<Properties xmlns="http://schemas.openxmlformats.org/officeDocument/2006/custom-properties" xmlns:vt="http://schemas.openxmlformats.org/officeDocument/2006/docPropsVTypes"/>
</file>