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B3A5C"/>
          <w:sz w:val="28"/>
        </w:rPr>
        <w:t>NBI Analytics</w:t>
      </w:r>
    </w:p>
    <w:p>
      <w:pPr>
        <w:jc w:val="center"/>
      </w:pPr>
      <w:r>
        <w:rPr>
          <w:color w:val="999999"/>
          <w:sz w:val="16"/>
        </w:rPr>
        <w:t>____________________________________________________________</w:t>
      </w:r>
    </w:p>
    <w:p>
      <w:pPr>
        <w:spacing w:before="480"/>
        <w:jc w:val="center"/>
      </w:pPr>
      <w:r>
        <w:rPr>
          <w:rFonts w:ascii="Calibri" w:hAnsi="Calibri"/>
          <w:b/>
          <w:color w:val="1B3A5C"/>
          <w:sz w:val="48"/>
        </w:rPr>
        <w:t>Competitive MTX Pricing Research</w:t>
      </w:r>
    </w:p>
    <w:p>
      <w:pPr>
        <w:jc w:val="center"/>
      </w:pPr>
      <w:r>
        <w:rPr>
          <w:rFonts w:ascii="Calibri" w:hAnsi="Calibri"/>
          <w:color w:val="4A6F8C"/>
          <w:sz w:val="36"/>
        </w:rPr>
        <w:t>Executive Summary</w:t>
      </w:r>
    </w:p>
    <w:p>
      <w:pPr>
        <w:spacing w:before="720"/>
        <w:jc w:val="center"/>
      </w:pPr>
      <w:r>
        <w:rPr>
          <w:rFonts w:ascii="Calibri" w:hAnsi="Calibri"/>
          <w:color w:val="555555"/>
          <w:sz w:val="24"/>
        </w:rPr>
        <w:t>Prepared for Jonas / Goals</w:t>
      </w:r>
    </w:p>
    <w:p>
      <w:pPr>
        <w:jc w:val="center"/>
      </w:pPr>
      <w:r>
        <w:rPr>
          <w:rFonts w:ascii="Calibri" w:hAnsi="Calibri"/>
          <w:color w:val="555555"/>
          <w:sz w:val="24"/>
        </w:rPr>
        <w:t>by NBI Analytics</w:t>
      </w:r>
    </w:p>
    <w:p>
      <w:pPr>
        <w:spacing w:before="360"/>
        <w:jc w:val="center"/>
      </w:pPr>
      <w:r>
        <w:rPr>
          <w:rFonts w:ascii="Calibri" w:hAnsi="Calibri"/>
          <w:color w:val="777777"/>
          <w:sz w:val="22"/>
        </w:rPr>
        <w:t>April 2026</w:t>
      </w:r>
    </w:p>
    <w:p>
      <w:pPr>
        <w:spacing w:before="720"/>
        <w:jc w:val="center"/>
      </w:pPr>
      <w:r>
        <w:rPr>
          <w:rFonts w:ascii="Calibri" w:hAnsi="Calibri"/>
          <w:b/>
          <w:color w:val="CC3333"/>
          <w:sz w:val="20"/>
        </w:rPr>
        <w:t>CONFIDENTIAL</w:t>
      </w:r>
    </w:p>
    <w:p>
      <w:r>
        <w:br w:type="page"/>
      </w:r>
    </w:p>
    <w:p>
      <w:pPr>
        <w:pStyle w:val="Heading1"/>
      </w:pPr>
      <w:r>
        <w:t>Key Takeaway</w:t>
      </w:r>
    </w:p>
    <w:p>
      <w:r>
        <w:rPr>
          <w:b/>
        </w:rPr>
        <w:t>USD prices on currency packs are functionally permanent.</w:t>
      </w:r>
      <w:r>
        <w:rPr>
          <w:b w:val="0"/>
        </w:rPr>
        <w:t xml:space="preserve"> Across every competitor analysed in this research - EA FC, UFL, eFootball, Fortnite, Valorant, Apex Legends, and others - no publisher has ever raised the USD sticker price on an existing currency pack tier. Instead, publishers adjust value through other mechanisms: adding higher-ceiling tiers, restructuring mid-range offerings, reducing currency quantities at the same price point, or raising prices in non-USD currencies when exchange rates shift. This pattern holds across eight years of EA FC/FIFA data and is consistent across the entire competitive set. Jonas's instinct that Goals cannot raise prices post-launch is well-supported by market evidence.</w:t>
      </w:r>
    </w:p>
    <w:p>
      <w:pPr>
        <w:pStyle w:val="Heading1"/>
      </w:pPr>
      <w:r>
        <w:t>Market Positioning</w:t>
      </w:r>
    </w:p>
    <w:p>
      <w:pPr>
        <w:spacing w:after="80"/>
      </w:pPr>
      <w:r>
        <w:t>Where Goals sits relative to the competitive set:</w:t>
      </w:r>
    </w:p>
    <w:p>
      <w:pPr>
        <w:pStyle w:val="ListBullet"/>
      </w:pPr>
      <w:r>
        <w:rPr>
          <w:b/>
        </w:rPr>
        <w:t xml:space="preserve">Entry price gap: </w:t>
      </w:r>
      <w:r>
        <w:t>Goals' lowest tier is $5.99/380 HC. Every direct football competitor (EA FC, UFL, eFootball) offers a $0.99/100 HC micro-entry tier. This is the most significant pricing gap identified.</w:t>
      </w:r>
    </w:p>
    <w:p>
      <w:pPr>
        <w:pStyle w:val="ListBullet"/>
      </w:pPr>
      <w:r>
        <w:rPr>
          <w:b/>
        </w:rPr>
        <w:t xml:space="preserve">Volume discount aligned: </w:t>
      </w:r>
      <w:r>
        <w:t>Goals' 22% volume discount from entry to top tier sits squarely within the industry cluster of 15-23%.</w:t>
      </w:r>
    </w:p>
    <w:p>
      <w:pPr>
        <w:pStyle w:val="ListBullet"/>
      </w:pPr>
      <w:r>
        <w:rPr>
          <w:b/>
        </w:rPr>
        <w:t xml:space="preserve">Top tier positioning: </w:t>
      </w:r>
      <w:r>
        <w:t>Goals' $99.99 ceiling sits between UFL ($79.99) and EA FC ($149.99), which is a reasonable competitive position.</w:t>
      </w:r>
    </w:p>
    <w:p>
      <w:pPr>
        <w:pStyle w:val="ListBullet"/>
      </w:pPr>
      <w:r>
        <w:rPr>
          <w:b/>
        </w:rPr>
        <w:t xml:space="preserve">Missing micro-entry tier: </w:t>
      </w:r>
      <w:r>
        <w:t>The $0.99 price point serves as a low-friction first purchase across the genre. Its absence from Goals' structure may increase the barrier to a player's first spend.</w:t>
      </w:r>
    </w:p>
    <w:p>
      <w:pPr>
        <w:pStyle w:val="ListBullet"/>
      </w:pPr>
      <w:r>
        <w:rPr>
          <w:b/>
        </w:rPr>
        <w:t xml:space="preserve">Regional strategy: </w:t>
      </w:r>
      <w:r>
        <w:t>Goals' approach of benchmarking against EA FC and Arc Raiders per region aligns with established best practice. EA FC's 12-region template is the industry standard.</w:t>
      </w:r>
    </w:p>
    <w:p>
      <w:pPr>
        <w:pStyle w:val="Heading1"/>
      </w:pPr>
      <w:r>
        <w:t>Competitive Landscape</w:t>
      </w:r>
    </w:p>
    <w:p>
      <w:pPr>
        <w:spacing w:after="160"/>
      </w:pPr>
      <w:r>
        <w:t>Key pricing metrics across the five most relevant competitors: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fill="1B3A5C" w:val="clear"/>
          </w:tcPr>
          <w:p>
            <w:pPr>
              <w:spacing w:before="40" w:after="4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Competitor</w:t>
            </w:r>
          </w:p>
        </w:tc>
        <w:tc>
          <w:tcPr>
            <w:tcW w:type="dxa" w:w="1701"/>
            <w:shd w:fill="1B3A5C" w:val="clear"/>
          </w:tcPr>
          <w:p>
            <w:pPr>
              <w:spacing w:before="40" w:after="4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Entry Price</w:t>
            </w:r>
          </w:p>
        </w:tc>
        <w:tc>
          <w:tcPr>
            <w:tcW w:type="dxa" w:w="1701"/>
            <w:shd w:fill="1B3A5C" w:val="clear"/>
          </w:tcPr>
          <w:p>
            <w:pPr>
              <w:spacing w:before="40" w:after="4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Top Price</w:t>
            </w:r>
          </w:p>
        </w:tc>
        <w:tc>
          <w:tcPr>
            <w:tcW w:type="dxa" w:w="1984"/>
            <w:shd w:fill="1B3A5C" w:val="clear"/>
          </w:tcPr>
          <w:p>
            <w:pPr>
              <w:spacing w:before="40" w:after="40"/>
              <w:jc w:val="left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sz w:val="18"/>
              </w:rPr>
              <w:t>Volume Discount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EA FC 26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$0.99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$149.99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~22%</w:t>
            </w:r>
          </w:p>
        </w:tc>
      </w:tr>
      <w:tr>
        <w:tc>
          <w:tcPr>
            <w:tcW w:type="dxa" w:w="1984"/>
            <w:shd w:fill="F0F4F8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UFL</w:t>
            </w:r>
          </w:p>
        </w:tc>
        <w:tc>
          <w:tcPr>
            <w:tcW w:type="dxa" w:w="1701"/>
            <w:shd w:fill="F0F4F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$0.99</w:t>
            </w:r>
          </w:p>
        </w:tc>
        <w:tc>
          <w:tcPr>
            <w:tcW w:type="dxa" w:w="1701"/>
            <w:shd w:fill="F0F4F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$79.99</w:t>
            </w:r>
          </w:p>
        </w:tc>
        <w:tc>
          <w:tcPr>
            <w:tcW w:type="dxa" w:w="1984"/>
            <w:shd w:fill="F0F4F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~18%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eFootball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$0.99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$99.99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~19%</w:t>
            </w:r>
          </w:p>
        </w:tc>
      </w:tr>
      <w:tr>
        <w:tc>
          <w:tcPr>
            <w:tcW w:type="dxa" w:w="1984"/>
            <w:shd w:fill="F0F4F8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Fortnite</w:t>
            </w:r>
          </w:p>
        </w:tc>
        <w:tc>
          <w:tcPr>
            <w:tcW w:type="dxa" w:w="1701"/>
            <w:shd w:fill="F0F4F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$0.99*</w:t>
            </w:r>
          </w:p>
        </w:tc>
        <w:tc>
          <w:tcPr>
            <w:tcW w:type="dxa" w:w="1701"/>
            <w:shd w:fill="F0F4F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$89.99</w:t>
            </w:r>
          </w:p>
        </w:tc>
        <w:tc>
          <w:tcPr>
            <w:tcW w:type="dxa" w:w="1984"/>
            <w:shd w:fill="F0F4F8" w:val="clear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~56%**</w:t>
            </w:r>
          </w:p>
        </w:tc>
      </w:tr>
      <w:tr>
        <w:tc>
          <w:tcPr>
            <w:tcW w:type="dxa" w:w="1984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Valorant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$4.99</w:t>
            </w:r>
          </w:p>
        </w:tc>
        <w:tc>
          <w:tcPr>
            <w:tcW w:type="dxa" w:w="1701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$99.99</w:t>
            </w:r>
          </w:p>
        </w:tc>
        <w:tc>
          <w:tcPr>
            <w:tcW w:type="dxa" w:w="1984"/>
          </w:tcPr>
          <w:p>
            <w:pPr>
              <w:spacing w:before="40" w:after="40"/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~16%</w:t>
            </w:r>
          </w:p>
        </w:tc>
      </w:tr>
    </w:tbl>
    <w:p>
      <w:pPr>
        <w:spacing w:before="80"/>
      </w:pPr>
      <w:r>
        <w:rPr>
          <w:b w:val="0"/>
          <w:color w:val="777777"/>
          <w:sz w:val="16"/>
        </w:rPr>
        <w:t>* Fortnite's $0.99 is a convenience micro-pack (50 V-Bucks); practical entry is $8.99/800 V-Bucks.</w:t>
      </w:r>
    </w:p>
    <w:p>
      <w:r>
        <w:rPr>
          <w:b w:val="0"/>
          <w:color w:val="777777"/>
          <w:sz w:val="16"/>
        </w:rPr>
        <w:t>** Fortnite's 56% discount measured against $8.99 practical base tier, not the $0.99 micro-pack.</w:t>
      </w:r>
    </w:p>
    <w:p>
      <w:pPr>
        <w:pStyle w:val="Heading1"/>
      </w:pPr>
      <w:r>
        <w:t>UFL Deep Dive</w:t>
      </w:r>
    </w:p>
    <w:p>
      <w:pPr>
        <w:spacing w:after="80"/>
      </w:pPr>
      <w:r>
        <w:t>UFL is Goals' closest direct competitor. Key observations:</w:t>
      </w:r>
    </w:p>
    <w:p>
      <w:pPr>
        <w:pStyle w:val="ListBullet"/>
      </w:pPr>
      <w:r>
        <w:rPr>
          <w:b/>
        </w:rPr>
        <w:t xml:space="preserve">Pricing alignment with EA FC: </w:t>
      </w:r>
      <w:r>
        <w:t>UFL's first three tiers match EA FC exactly (100/$0.99, 500/$4.99, 1,050/$9.99). Upper tiers diverge, with UFL using fewer, wider-spaced tiers covering $0.99-$79.99 in six tiers versus EA FC's $0.99-$149.99 in eight.</w:t>
      </w:r>
    </w:p>
    <w:p>
      <w:pPr>
        <w:pStyle w:val="ListBullet"/>
      </w:pPr>
      <w:r>
        <w:rPr>
          <w:b/>
        </w:rPr>
        <w:t xml:space="preserve">Dual currency model: </w:t>
      </w:r>
      <w:r>
        <w:t>UFL operates with LP (hard currency, purchased) and CP (soft currency, earned and purchasable). CP packs range from $0.99 to $39.99 with a 24% volume discount. This dual model lets UFL monetise both the premium-content path and the progression path without crossing into pay-to-win territory.</w:t>
      </w:r>
    </w:p>
    <w:p>
      <w:pPr>
        <w:pStyle w:val="ListBullet"/>
      </w:pPr>
      <w:r>
        <w:rPr>
          <w:b/>
        </w:rPr>
        <w:t xml:space="preserve">Volume discount: </w:t>
      </w:r>
      <w:r>
        <w:t>18% from entry to top tier, slightly below EA FC's 22% but within the industry cluster. UFL's Season 25-26 shift to pack-based card acquisition brought its economy closer to the EA FC Ultimate Team model.</w:t>
      </w:r>
    </w:p>
    <w:p>
      <w:pPr>
        <w:pStyle w:val="Heading1"/>
      </w:pPr>
      <w:r>
        <w:t>Pricing Architecture Patterns</w:t>
      </w:r>
    </w:p>
    <w:p>
      <w:pPr>
        <w:spacing w:after="80"/>
      </w:pPr>
      <w:r>
        <w:t>Consistent patterns observed across the competitive set:</w:t>
      </w:r>
    </w:p>
    <w:p>
      <w:pPr>
        <w:pStyle w:val="ListBullet"/>
      </w:pPr>
      <w:r>
        <w:rPr>
          <w:b/>
        </w:rPr>
        <w:t xml:space="preserve">EA has never raised USD prices: </w:t>
      </w:r>
      <w:r>
        <w:t>Across eight years of FIFA/FC data (2018-2026), EA has never increased the USD price of an existing tier. Their strategy is to add higher-ceiling tiers (pushing the maximum from $39.99 to $99.99 to $149.99) and restructure mid-range offerings.</w:t>
      </w:r>
    </w:p>
    <w:p>
      <w:pPr>
        <w:pStyle w:val="ListBullet"/>
      </w:pPr>
      <w:r>
        <w:rPr>
          <w:b/>
        </w:rPr>
        <w:t xml:space="preserve">Ceiling tiers are added, not raised: </w:t>
      </w:r>
      <w:r>
        <w:t>Publishers expand monetisation headroom by introducing new top tiers rather than increasing prices on existing ones. EA demonstrated this in FIFA 20 ($99.99 tier) and FIFA 23 ($149.99 tier) without disrupting the existing structure.</w:t>
      </w:r>
    </w:p>
    <w:p>
      <w:pPr>
        <w:pStyle w:val="ListBullet"/>
      </w:pPr>
      <w:r>
        <w:rPr>
          <w:b/>
        </w:rPr>
        <w:t xml:space="preserve">Fortnite reduced quantities: </w:t>
      </w:r>
      <w:r>
        <w:t>In March 2026, Epic kept USD prices unchanged but reduced V-Buck quantities by 7-20% across tiers. The sticker price stayed the same; the effective cost per V-Buck rose.</w:t>
      </w:r>
    </w:p>
    <w:p>
      <w:pPr>
        <w:pStyle w:val="ListBullet"/>
      </w:pPr>
      <w:r>
        <w:rPr>
          <w:b/>
        </w:rPr>
        <w:t xml:space="preserve">Volume discounts cluster at 15-23%: </w:t>
      </w:r>
      <w:r>
        <w:t>Most titles offer a modest reward for bulk purchasing. NBA 2K (86%) is the extreme outlier. Fortnite (56%) sits in between. The football genre clusters tightly at 18-22%.</w:t>
      </w:r>
    </w:p>
    <w:p>
      <w:pPr>
        <w:pStyle w:val="ListBullet"/>
      </w:pPr>
      <w:r>
        <w:rPr>
          <w:b/>
        </w:rPr>
        <w:t xml:space="preserve">Non-USD adjustments are common: </w:t>
      </w:r>
      <w:r>
        <w:t>EA, Apex, and others have raised GBP, AUD, and CAD prices when exchange rates shifted, while holding USD constant. Regional pricing is the pressure valve.</w:t>
      </w:r>
    </w:p>
    <w:p>
      <w:pPr>
        <w:pStyle w:val="Heading1"/>
      </w:pPr>
      <w:r>
        <w:t>Recommended Next Steps</w:t>
      </w:r>
    </w:p>
    <w:p>
      <w:pPr>
        <w:spacing w:after="120"/>
        <w:ind w:left="283"/>
      </w:pPr>
      <w:r>
        <w:rPr>
          <w:b/>
          <w:color w:val="1B3A5C"/>
        </w:rPr>
        <w:t xml:space="preserve">1.  </w:t>
      </w:r>
      <w:r>
        <w:rPr>
          <w:b/>
        </w:rPr>
        <w:t xml:space="preserve">Review the $0.99 micro-entry gap. </w:t>
      </w:r>
      <w:r>
        <w:t>Every direct football competitor offers a $0.99/100 HC tier as a low-friction first purchase. Consider whether adding this tier to Goals' structure would reduce the barrier to initial spend.</w:t>
      </w:r>
    </w:p>
    <w:p>
      <w:pPr>
        <w:spacing w:after="120"/>
        <w:ind w:left="283"/>
      </w:pPr>
      <w:r>
        <w:rPr>
          <w:b/>
          <w:color w:val="1B3A5C"/>
        </w:rPr>
        <w:t xml:space="preserve">2.  </w:t>
      </w:r>
      <w:r>
        <w:rPr>
          <w:b/>
        </w:rPr>
        <w:t xml:space="preserve">Consider soft currency pricing. </w:t>
      </w:r>
      <w:r>
        <w:t>If Goals plans a dual-currency model, UFL's CP pricing ($0.99-$39.99, 24% volume discount) provides a direct benchmark. The full UFL data is available in the accompanying workbook.</w:t>
      </w:r>
    </w:p>
    <w:p>
      <w:pPr>
        <w:spacing w:after="120"/>
        <w:ind w:left="283"/>
      </w:pPr>
      <w:r>
        <w:rPr>
          <w:b/>
          <w:color w:val="1B3A5C"/>
        </w:rPr>
        <w:t xml:space="preserve">3.  </w:t>
      </w:r>
      <w:r>
        <w:rPr>
          <w:b/>
        </w:rPr>
        <w:t xml:space="preserve">Verify regional pricing against EA FC's 12-region template. </w:t>
      </w:r>
      <w:r>
        <w:t>EA FC's regional pricing matrix is the most comprehensive in the genre. Goals' existing regional strategy aligns well, but a tier-by-tier comparison across key regions (GBP, EUR, BRL, IDR, TRY) would confirm positioning.</w:t>
      </w:r>
    </w:p>
    <w:p>
      <w:pPr>
        <w:spacing w:after="120"/>
        <w:ind w:left="283"/>
      </w:pPr>
      <w:r>
        <w:rPr>
          <w:b/>
          <w:color w:val="1B3A5C"/>
        </w:rPr>
        <w:t xml:space="preserve">4.  </w:t>
      </w:r>
      <w:r>
        <w:rPr>
          <w:b/>
        </w:rPr>
        <w:t xml:space="preserve">Full data available in the accompanying Excel workbook. </w:t>
      </w:r>
      <w:r>
        <w:t>The complete dataset covers 12 competitors, 315 normalised price points, and 147 citations. All findings in this summary can be drilled into at the individual tier and region level.</w:t>
      </w:r>
    </w:p>
    <w:p>
      <w:pPr>
        <w:spacing w:before="480"/>
        <w:jc w:val="center"/>
      </w:pPr>
      <w:r>
        <w:rPr>
          <w:color w:val="999999"/>
          <w:sz w:val="16"/>
        </w:rPr>
        <w:t>____________________________________________________________</w:t>
      </w:r>
    </w:p>
    <w:p>
      <w:pPr>
        <w:jc w:val="center"/>
      </w:pPr>
      <w:r>
        <w:rPr>
          <w:b w:val="0"/>
          <w:color w:val="999999"/>
          <w:sz w:val="16"/>
        </w:rPr>
        <w:t>NBI Analytics  |  nbi-consulting.com  |  Confidential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