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UK Visitor Visa Reapplication</w:t>
      </w:r>
    </w:p>
    <w:p>
      <w:pPr>
        <w:spacing w:after="100"/>
      </w:pPr>
      <w:r>
        <w:rPr>
          <w:b/>
          <w:bCs/>
          <w:color w:val="2E75B6"/>
          <w:sz w:val="28"/>
          <w:szCs w:val="28"/>
        </w:rPr>
        <w:t xml:space="preserve">Preparation Checklist</w:t>
      </w:r>
    </w:p>
    <w:p>
      <w:pPr>
        <w:pBdr>
          <w:bottom w:val="single" w:color="2E75B6" w:sz="6" w:space="8"/>
        </w:pBdr>
        <w:spacing w:after="300"/>
      </w:pPr>
      <w:r>
        <w:rPr>
          <w:color w:val="555555"/>
          <w:sz w:val="20"/>
          <w:szCs w:val="20"/>
        </w:rPr>
        <w:t xml:space="preserve">Mustafa – Software Engineer | CH Game Development UK Ltd (Couch Heroes)</w:t>
      </w:r>
    </w:p>
    <w:p>
      <w:pPr>
        <w:spacing w:after="200"/>
      </w:pPr>
      <w:r>
        <w:t xml:space="preserve">Mustafa’s previous Standard Visitor Visa application was refused because the Entry Clearance Officer was not satisfied that he would leave the UK at the end of his visit. To overturn this on reapplication, we need to build a comprehensive evidence package that proves beyond doubt that Mustafa has strong ties to the UAE, a clear reason to visit the UK for a defined period, and every reason to return to Dubai afterwards.</w:t>
      </w:r>
    </w:p>
    <w:p>
      <w:pPr>
        <w:spacing w:after="200"/>
      </w:pPr>
      <w:r>
        <w:t xml:space="preserve">This checklist sets out exactly what the company and Mustafa each need to provide. Everything marked below should be gathered before the reapplication is submitted. The more complete this package is, the stronger the case.</w:t>
      </w:r>
    </w:p>
    <w:p>
      <w:pPr>
        <w:spacing w:after="300"/>
      </w:pPr>
      <w:r>
        <w:rPr>
          <w:b/>
          <w:bCs/>
        </w:rPr>
        <w:t xml:space="preserve">Important: </w:t>
      </w:r>
      <w:r>
        <w:t xml:space="preserve">Do not submit the reapplication until every item below is ready. A second refusal would make any future application significantly harder.</w:t>
      </w:r>
    </w:p>
    <w:p>
      <w:pPr>
        <w:pBdr>
          <w:bottom w:val="single" w:color="CCCCCC" w:sz="4" w:space="4"/>
        </w:pBdr>
        <w:spacing w:after="100"/>
      </w:pPr>
      <w:r>
        <w:rPr>
          <w:b/>
          <w:bCs/>
          <w:color w:val="2E75B6"/>
          <w:sz w:val="24"/>
          <w:szCs w:val="24"/>
        </w:rPr>
        <w:t xml:space="preserve">SECTION 1: COMPANY RESPONSIBILITIES (Couch Heroes)</w:t>
      </w:r>
    </w:p>
    <w:p>
      <w:pPr>
        <w:spacing w:after="100" w:before="200"/>
      </w:pPr>
      <w:r>
        <w:rPr>
          <w:b/>
          <w:bCs/>
          <w:sz w:val="22"/>
          <w:szCs w:val="22"/>
        </w:rPr>
        <w:t xml:space="preserve">Corporate Sponsorship Letter</w:t>
      </w:r>
    </w:p>
    <w:p>
      <w:pPr>
        <w:pStyle w:val="ListParagraph"/>
        <w:numPr>
          <w:ilvl w:val="0"/>
          <w:numId w:val="2"/>
        </w:numPr>
        <w:spacing w:after="150"/>
      </w:pPr>
      <w:r>
        <w:t xml:space="preserve">Complete the corporate sponsorship letter template by filling in all bracketed fields. This must be printed on company letterhead if available, signed in wet ink or with a verified digital signature, and dated.</w:t>
      </w:r>
    </w:p>
    <w:p>
      <w:pPr>
        <w:pStyle w:val="ListParagraph"/>
        <w:numPr>
          <w:ilvl w:val="0"/>
          <w:numId w:val="2"/>
        </w:numPr>
        <w:spacing w:after="150"/>
      </w:pPr>
      <w:r>
        <w:t xml:space="preserve">The signatory must be a director or senior officer of CH Game Development UK Ltd (not an advisor or contractor). The ECO needs to see that the person inviting Mustafa has authority to speak for the company.</w:t>
      </w:r>
    </w:p>
    <w:p>
      <w:pPr>
        <w:pStyle w:val="ListParagraph"/>
        <w:numPr>
          <w:ilvl w:val="0"/>
          <w:numId w:val="2"/>
        </w:numPr>
        <w:spacing w:after="150"/>
      </w:pPr>
      <w:r>
        <w:t xml:space="preserve">Include the company registration number on the letter.</w:t>
      </w:r>
    </w:p>
    <w:p>
      <w:pPr>
        <w:spacing w:after="100" w:before="200"/>
      </w:pPr>
      <w:r>
        <w:rPr>
          <w:b/>
          <w:bCs/>
          <w:sz w:val="22"/>
          <w:szCs w:val="22"/>
        </w:rPr>
        <w:t xml:space="preserve">Travel and Accommodation Bookings</w:t>
      </w:r>
    </w:p>
    <w:p>
      <w:pPr>
        <w:pStyle w:val="ListParagraph"/>
        <w:numPr>
          <w:ilvl w:val="0"/>
          <w:numId w:val="2"/>
        </w:numPr>
        <w:spacing w:after="150"/>
      </w:pPr>
      <w:r>
        <w:t xml:space="preserve">Book Mustafa’s return flights from Dubai to London (or nearest airport to the event venue). These must be refundable or flexible bookings in case of further delays, but the booking confirmation must show a confirmed departure date from the UK. Enclose the booking confirmation.</w:t>
      </w:r>
    </w:p>
    <w:p>
      <w:pPr>
        <w:pStyle w:val="ListParagraph"/>
        <w:numPr>
          <w:ilvl w:val="0"/>
          <w:numId w:val="2"/>
        </w:numPr>
        <w:spacing w:after="150"/>
      </w:pPr>
      <w:r>
        <w:t xml:space="preserve">Book hotel accommodation for the full duration of Mustafa’s stay. The booking should be in the company’s name and paid by the company. Enclose the booking confirmation showing the company as the paying party.</w:t>
      </w:r>
    </w:p>
    <w:p>
      <w:pPr>
        <w:spacing w:after="100" w:before="200"/>
      </w:pPr>
      <w:r>
        <w:rPr>
          <w:b/>
          <w:bCs/>
          <w:sz w:val="22"/>
          <w:szCs w:val="22"/>
        </w:rPr>
        <w:t xml:space="preserve">Event Documentation</w:t>
      </w:r>
    </w:p>
    <w:p>
      <w:pPr>
        <w:pStyle w:val="ListParagraph"/>
        <w:numPr>
          <w:ilvl w:val="0"/>
          <w:numId w:val="2"/>
        </w:numPr>
        <w:spacing w:after="150"/>
      </w:pPr>
      <w:r>
        <w:t xml:space="preserve">Produce a written agenda or schedule for the roadmap planning week. This should show dates, session titles, and attendees. It does not need to be elaborate, but it needs to look like a real internal planning document, because it is one. A simple table of day-by-day activities is sufficient.</w:t>
      </w:r>
    </w:p>
    <w:p>
      <w:pPr>
        <w:pStyle w:val="ListParagraph"/>
        <w:numPr>
          <w:ilvl w:val="0"/>
          <w:numId w:val="2"/>
        </w:numPr>
        <w:spacing w:after="150"/>
      </w:pPr>
      <w:r>
        <w:t xml:space="preserve">If there is any existing internal communication (e.g. email or Slack message) confirming that this planning session has been scheduled and that Mustafa’s attendance is required, include a printout or screenshot. This adds credibility.</w:t>
      </w:r>
    </w:p>
    <w:p>
      <w:pPr>
        <w:spacing w:after="100" w:before="200"/>
      </w:pPr>
      <w:r>
        <w:rPr>
          <w:b/>
          <w:bCs/>
          <w:sz w:val="22"/>
          <w:szCs w:val="22"/>
        </w:rPr>
        <w:t xml:space="preserve">Company Financial Evidence</w:t>
      </w:r>
    </w:p>
    <w:p>
      <w:pPr>
        <w:pStyle w:val="ListParagraph"/>
        <w:numPr>
          <w:ilvl w:val="0"/>
          <w:numId w:val="2"/>
        </w:numPr>
        <w:spacing w:after="150"/>
      </w:pPr>
      <w:r>
        <w:t xml:space="preserve">Provide evidence that the company can cover the costs of Mustafa’s visit. This could be recent company bank statements, a letter from the company’s accountant confirming financial standing, or recent filed accounts. The ECO needs to see that the sponsorship offer is credible.</w:t>
      </w:r>
    </w:p>
    <w:p>
      <w:pPr>
        <w:spacing w:after="100" w:before="200"/>
      </w:pPr>
      <w:r>
        <w:rPr>
          <w:b/>
          <w:bCs/>
          <w:sz w:val="22"/>
          <w:szCs w:val="22"/>
        </w:rPr>
        <w:t xml:space="preserve">Employment Confirmation</w:t>
      </w:r>
    </w:p>
    <w:p>
      <w:pPr>
        <w:pStyle w:val="ListParagraph"/>
        <w:numPr>
          <w:ilvl w:val="0"/>
          <w:numId w:val="2"/>
        </w:numPr>
        <w:spacing w:after="150"/>
      </w:pPr>
      <w:r>
        <w:t xml:space="preserve">Issue a formal employment letter for Mustafa on company letterhead, signed by his line manager or a director. This letter must confirm: his full name and job title, that his role is based in Dubai, his current salary, the dates of approved leave for this trip, and that he is expected to return to his role in Dubai immediately after the event. This is one of the single most important documents in the entire package.</w:t>
      </w:r>
    </w:p>
    <w:p>
      <w:pPr>
        <w:pBdr>
          <w:bottom w:val="single" w:color="CCCCCC" w:sz="4" w:space="4"/>
        </w:pBdr>
        <w:spacing w:after="100" w:before="400"/>
      </w:pPr>
      <w:r>
        <w:rPr>
          <w:b/>
          <w:bCs/>
          <w:color w:val="2E75B6"/>
          <w:sz w:val="24"/>
          <w:szCs w:val="24"/>
        </w:rPr>
        <w:t xml:space="preserve">SECTION 2: MOSTAFA’S RESPONSIBILITIES</w:t>
      </w:r>
    </w:p>
    <w:p>
      <w:pPr>
        <w:spacing w:after="100" w:before="200"/>
      </w:pPr>
      <w:r>
        <w:rPr>
          <w:b/>
          <w:bCs/>
          <w:sz w:val="22"/>
          <w:szCs w:val="22"/>
        </w:rPr>
        <w:t xml:space="preserve">Identity and Residency Documents</w:t>
      </w:r>
    </w:p>
    <w:p>
      <w:pPr>
        <w:pStyle w:val="ListParagraph"/>
        <w:numPr>
          <w:ilvl w:val="0"/>
          <w:numId w:val="2"/>
        </w:numPr>
        <w:spacing w:after="150"/>
      </w:pPr>
      <w:r>
        <w:t xml:space="preserve">Provide a clear copy of his passport bio page (the page with his photo and personal details).</w:t>
      </w:r>
    </w:p>
    <w:p>
      <w:pPr>
        <w:pStyle w:val="ListParagraph"/>
        <w:numPr>
          <w:ilvl w:val="0"/>
          <w:numId w:val="2"/>
        </w:numPr>
        <w:spacing w:after="150"/>
      </w:pPr>
      <w:r>
        <w:t xml:space="preserve">Provide a copy of his valid UAE residency visa or Emirates ID, showing that his residency status is current. If the residency permit has an expiry date, it must not be expiring imminently, as this weakens the case for return ties.</w:t>
      </w:r>
    </w:p>
    <w:p>
      <w:pPr>
        <w:spacing w:after="100" w:before="200"/>
      </w:pPr>
      <w:r>
        <w:rPr>
          <w:b/>
          <w:bCs/>
          <w:sz w:val="22"/>
          <w:szCs w:val="22"/>
        </w:rPr>
        <w:t xml:space="preserve">Financial Evidence</w:t>
      </w:r>
    </w:p>
    <w:p>
      <w:pPr>
        <w:pStyle w:val="ListParagraph"/>
        <w:numPr>
          <w:ilvl w:val="0"/>
          <w:numId w:val="2"/>
        </w:numPr>
        <w:spacing w:after="150"/>
      </w:pPr>
      <w:r>
        <w:t xml:space="preserve">Provide personal bank statements for the last six months. These must show regular salary deposits from his employer. The statements should demonstrate a stable financial life in the UAE. If there are any large, unusual deposits in this period, he should be prepared to explain them (and ideally provide a brief written explanation to include with the application).</w:t>
      </w:r>
    </w:p>
    <w:p>
      <w:pPr>
        <w:pStyle w:val="ListParagraph"/>
        <w:numPr>
          <w:ilvl w:val="0"/>
          <w:numId w:val="2"/>
        </w:numPr>
        <w:spacing w:after="150"/>
      </w:pPr>
      <w:r>
        <w:t xml:space="preserve">If he has any savings accounts, investment accounts, or other financial assets in the UAE, include evidence of these as well. The more financial roots in the UAE, the better.</w:t>
      </w:r>
    </w:p>
    <w:p>
      <w:pPr>
        <w:spacing w:after="100" w:before="200"/>
      </w:pPr>
      <w:r>
        <w:rPr>
          <w:b/>
          <w:bCs/>
          <w:sz w:val="22"/>
          <w:szCs w:val="22"/>
        </w:rPr>
        <w:t xml:space="preserve">Accommodation Ties in the UAE</w:t>
      </w:r>
    </w:p>
    <w:p>
      <w:pPr>
        <w:pStyle w:val="ListParagraph"/>
        <w:numPr>
          <w:ilvl w:val="0"/>
          <w:numId w:val="2"/>
        </w:numPr>
        <w:spacing w:after="150"/>
      </w:pPr>
      <w:r>
        <w:t xml:space="preserve">Provide a copy of his current tenancy agreement or lease for his accommodation in Dubai, showing that it is ongoing and does not expire before or during the proposed trip. If he owns property, provide the title deed.</w:t>
      </w:r>
    </w:p>
    <w:p>
      <w:pPr>
        <w:pStyle w:val="ListParagraph"/>
        <w:numPr>
          <w:ilvl w:val="0"/>
          <w:numId w:val="2"/>
        </w:numPr>
        <w:spacing w:after="150"/>
      </w:pPr>
      <w:r>
        <w:t xml:space="preserve">If he has a vehicle registered in the UAE, provide a copy of the vehicle registration. This is supplementary but adds weight.</w:t>
      </w:r>
    </w:p>
    <w:p>
      <w:pPr>
        <w:spacing w:after="100" w:before="200"/>
      </w:pPr>
      <w:r>
        <w:rPr>
          <w:b/>
          <w:bCs/>
          <w:sz w:val="22"/>
          <w:szCs w:val="22"/>
        </w:rPr>
        <w:t xml:space="preserve">Family and Personal Ties</w:t>
      </w:r>
    </w:p>
    <w:p>
      <w:pPr>
        <w:pStyle w:val="ListParagraph"/>
        <w:numPr>
          <w:ilvl w:val="0"/>
          <w:numId w:val="2"/>
        </w:numPr>
        <w:spacing w:after="150"/>
      </w:pPr>
      <w:r>
        <w:t xml:space="preserve">If Mustafa has a spouse, children, or other dependants living with him in the UAE, provide evidence of this (e.g. their residency permits, marriage certificate, birth certificates). Family members remaining in the UAE while he travels is strong evidence of intention to return.</w:t>
      </w:r>
    </w:p>
    <w:p>
      <w:pPr>
        <w:pStyle w:val="ListParagraph"/>
        <w:numPr>
          <w:ilvl w:val="0"/>
          <w:numId w:val="2"/>
        </w:numPr>
        <w:spacing w:after="150"/>
      </w:pPr>
      <w:r>
        <w:t xml:space="preserve">If he does not have family in the UAE, this section can be omitted, but other ties (employment, property, financial) become even more important.</w:t>
      </w:r>
    </w:p>
    <w:p>
      <w:pPr>
        <w:spacing w:after="100" w:before="200"/>
      </w:pPr>
      <w:r>
        <w:rPr>
          <w:b/>
          <w:bCs/>
          <w:sz w:val="22"/>
          <w:szCs w:val="22"/>
        </w:rPr>
        <w:t xml:space="preserve">Travel History</w:t>
      </w:r>
    </w:p>
    <w:p>
      <w:pPr>
        <w:pStyle w:val="ListParagraph"/>
        <w:numPr>
          <w:ilvl w:val="0"/>
          <w:numId w:val="2"/>
        </w:numPr>
        <w:spacing w:after="150"/>
      </w:pPr>
      <w:r>
        <w:t xml:space="preserve">If Mustafa has travelled internationally before and returned to the UAE each time without overstaying, provide evidence of this. Stamps in his passport showing previous international travel with compliant returns are helpful. If he has previously held visas for other countries (Schengen, US, etc.) and complied with their terms, include copies of these.</w:t>
      </w:r>
    </w:p>
    <w:p>
      <w:pPr>
        <w:pStyle w:val="ListParagraph"/>
        <w:numPr>
          <w:ilvl w:val="0"/>
          <w:numId w:val="2"/>
        </w:numPr>
        <w:spacing w:after="150"/>
      </w:pPr>
      <w:r>
        <w:t xml:space="preserve">If he has limited or no previous travel history, do not fabricate anything. Instead, the other evidence (employment, financial, residency) needs to be especially strong.</w:t>
      </w:r>
    </w:p>
    <w:p>
      <w:pPr>
        <w:spacing w:after="100" w:before="200"/>
      </w:pPr>
      <w:r>
        <w:rPr>
          <w:b/>
          <w:bCs/>
          <w:sz w:val="22"/>
          <w:szCs w:val="22"/>
        </w:rPr>
        <w:t xml:space="preserve">Previous Refusal</w:t>
      </w:r>
    </w:p>
    <w:p>
      <w:pPr>
        <w:pStyle w:val="ListParagraph"/>
        <w:numPr>
          <w:ilvl w:val="0"/>
          <w:numId w:val="2"/>
        </w:numPr>
        <w:spacing w:after="150"/>
      </w:pPr>
      <w:r>
        <w:t xml:space="preserve">Provide a copy of the previous refusal decision letter. This must be included with the reapplication so the ECO can see what was previously raised and verify that the new application addresses it.</w:t>
      </w:r>
    </w:p>
    <w:p>
      <w:pPr>
        <w:pStyle w:val="ListParagraph"/>
        <w:numPr>
          <w:ilvl w:val="0"/>
          <w:numId w:val="2"/>
        </w:numPr>
        <w:spacing w:after="150"/>
      </w:pPr>
      <w:r>
        <w:t xml:space="preserve">Mustafa must declare the previous refusal on the new application form. Failure to declare a previous refusal is treated as deception and can result in a multi-year ban. Do not omit this under any circumstances.</w:t>
      </w:r>
    </w:p>
    <w:p>
      <w:pPr>
        <w:spacing w:after="100" w:before="200"/>
      </w:pPr>
      <w:r>
        <w:rPr>
          <w:b/>
          <w:bCs/>
          <w:sz w:val="22"/>
          <w:szCs w:val="22"/>
        </w:rPr>
        <w:t xml:space="preserve">Cover Letter</w:t>
      </w:r>
    </w:p>
    <w:p>
      <w:pPr>
        <w:pStyle w:val="ListParagraph"/>
        <w:numPr>
          <w:ilvl w:val="0"/>
          <w:numId w:val="2"/>
        </w:numPr>
        <w:spacing w:after="150"/>
      </w:pPr>
      <w:r>
        <w:t xml:space="preserve">Mustafa (or his immigration solicitor, if one is instructed) should write a personal cover letter to accompany the application. This letter should: acknowledge the previous refusal, address each concern raised in the refusal letter point by point, summarise the evidence enclosed that demonstrates his intention to return to the UAE, and briefly explain the purpose of the visit in his own words. This is separate from the corporate sponsorship letter and gives Mustafa a chance to speak directly to the ECO.</w:t>
      </w:r>
    </w:p>
    <w:p>
      <w:pPr>
        <w:pBdr>
          <w:bottom w:val="single" w:color="CCCCCC" w:sz="4" w:space="4"/>
        </w:pBdr>
        <w:spacing w:after="100" w:before="400"/>
      </w:pPr>
      <w:r>
        <w:rPr>
          <w:b/>
          <w:bCs/>
          <w:color w:val="2E75B6"/>
          <w:sz w:val="24"/>
          <w:szCs w:val="24"/>
        </w:rPr>
        <w:t xml:space="preserve">SECTION 3: ADDITIONAL RECOMMENDATIONS</w:t>
      </w:r>
    </w:p>
    <w:p>
      <w:pPr>
        <w:pStyle w:val="ListParagraph"/>
        <w:numPr>
          <w:ilvl w:val="0"/>
          <w:numId w:val="2"/>
        </w:numPr>
        <w:spacing w:after="150"/>
      </w:pPr>
      <w:r>
        <w:t xml:space="preserve">Consider instructing an OISC-registered immigration solicitor or adviser to review the full application package before submission. Given the existing refusal on file, professional review is strongly recommended. A solicitor can spot weaknesses in the evidence and advise on presentation.</w:t>
      </w:r>
    </w:p>
    <w:p>
      <w:pPr>
        <w:pStyle w:val="ListParagraph"/>
        <w:numPr>
          <w:ilvl w:val="0"/>
          <w:numId w:val="2"/>
        </w:numPr>
        <w:spacing w:after="150"/>
      </w:pPr>
      <w:r>
        <w:t xml:space="preserve">If timing is tight, look into the priority visa processing service when submitting through the VFS centre in Dubai. Standard processing can take three weeks or longer; priority service can reduce this significantly at additional cost.</w:t>
      </w:r>
    </w:p>
    <w:p>
      <w:pPr>
        <w:pStyle w:val="ListParagraph"/>
        <w:numPr>
          <w:ilvl w:val="0"/>
          <w:numId w:val="2"/>
        </w:numPr>
        <w:spacing w:after="150"/>
      </w:pPr>
      <w:r>
        <w:t xml:space="preserve">Ensure all documents not in English are accompanied by certified translations. This includes any Arabic-language tenancy agreements, employment contracts, or financial documents.</w:t>
      </w:r>
    </w:p>
    <w:p>
      <w:pPr>
        <w:pStyle w:val="ListParagraph"/>
        <w:numPr>
          <w:ilvl w:val="0"/>
          <w:numId w:val="2"/>
        </w:numPr>
        <w:spacing w:after="150"/>
      </w:pPr>
      <w:r>
        <w:t xml:space="preserve">Do not include unnecessary or irrelevant documents. Every document should serve a clear purpose in demonstrating either the legitimacy of the visit or Mustafa’s ties to the UAE. Padding the application with irrelevant paperwork can make it harder for the ECO to find the evidence that matters.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2026-04-16T01:57:10.243Z</dcterms:created>
  <dcterms:modified xsi:type="dcterms:W3CDTF">2026-04-16T01:57:10.244Z</dcterms:modified>
</cp:coreProperties>
</file>

<file path=docProps/custom.xml><?xml version="1.0" encoding="utf-8"?>
<Properties xmlns="http://schemas.openxmlformats.org/officeDocument/2006/custom-properties" xmlns:vt="http://schemas.openxmlformats.org/officeDocument/2006/docPropsVTypes"/>
</file>