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56"/>
        </w:rPr>
        <w:t>PLAYSAGE</w:t>
      </w:r>
    </w:p>
    <w:p>
      <w:pPr>
        <w:jc w:val="center"/>
      </w:pPr>
      <w:r>
        <w:rPr>
          <w:sz w:val="32"/>
        </w:rPr>
        <w:t>Product Requirements Document</w:t>
      </w:r>
    </w:p>
    <w:p>
      <w:pPr>
        <w:jc w:val="center"/>
      </w:pPr>
      <w:r>
        <w:rPr>
          <w:i/>
          <w:sz w:val="24"/>
        </w:rPr>
        <w:t>Version 2.0  |  March 2026</w:t>
      </w:r>
    </w:p>
    <w:p>
      <w:pPr>
        <w:jc w:val="center"/>
      </w:pPr>
      <w:r>
        <w:rPr>
          <w:i/>
        </w:rPr>
        <w:t>A decision suite for games operators that combines cross-platform data, forecasting, AI-driven recommendations, and studio operations analytics.</w:t>
      </w:r>
    </w:p>
    <w:p>
      <w:pPr>
        <w:jc w:val="center"/>
      </w:pPr>
      <w:r>
        <w:rPr>
          <w:b/>
        </w:rPr>
        <w:t>Confidential</w:t>
      </w:r>
    </w:p>
    <w:tbl>
      <w:tblPr>
        <w:tblStyle w:val="LightGrid-Accent1"/>
        <w:tblW w:type="auto" w:w="0"/>
        <w:jc w:val="left"/>
        <w:tblLook w:firstColumn="1" w:firstRow="1" w:lastColumn="0" w:lastRow="0" w:noHBand="0" w:noVBand="1" w:val="04A0"/>
      </w:tblPr>
      <w:tblGrid>
        <w:gridCol w:w="4320"/>
        <w:gridCol w:w="4320"/>
      </w:tblGrid>
      <w:tr>
        <w:tc>
          <w:tcPr>
            <w:tcW w:type="dxa" w:w="2268"/>
          </w:tcPr>
          <w:p>
            <w:r>
              <w:rPr>
                <w:b/>
                <w:sz w:val="20"/>
              </w:rPr>
              <w:t>Item</w:t>
            </w:r>
          </w:p>
        </w:tc>
        <w:tc>
          <w:tcPr>
            <w:tcW w:type="dxa" w:w="7937"/>
          </w:tcPr>
          <w:p>
            <w:r>
              <w:rPr>
                <w:b/>
                <w:sz w:val="20"/>
              </w:rPr>
              <w:t>Detail</w:t>
            </w:r>
          </w:p>
        </w:tc>
      </w:tr>
      <w:tr>
        <w:tc>
          <w:tcPr>
            <w:tcW w:type="dxa" w:w="2268"/>
          </w:tcPr>
          <w:p>
            <w:r>
              <w:rPr>
                <w:sz w:val="20"/>
              </w:rPr>
              <w:t>Owner</w:t>
            </w:r>
          </w:p>
        </w:tc>
        <w:tc>
          <w:tcPr>
            <w:tcW w:type="dxa" w:w="7937"/>
          </w:tcPr>
          <w:p>
            <w:r>
              <w:rPr>
                <w:sz w:val="20"/>
              </w:rPr>
              <w:t>Product Lead</w:t>
            </w:r>
          </w:p>
        </w:tc>
      </w:tr>
      <w:tr>
        <w:tc>
          <w:tcPr>
            <w:tcW w:type="dxa" w:w="2268"/>
          </w:tcPr>
          <w:p>
            <w:r>
              <w:rPr>
                <w:sz w:val="20"/>
              </w:rPr>
              <w:t>Reviewers</w:t>
            </w:r>
          </w:p>
        </w:tc>
        <w:tc>
          <w:tcPr>
            <w:tcW w:type="dxa" w:w="7937"/>
          </w:tcPr>
          <w:p>
            <w:r>
              <w:rPr>
                <w:sz w:val="20"/>
              </w:rPr>
              <w:t>CEO, Engineering Lead, UX Lead, Games Analyst, Economy Designer</w:t>
            </w:r>
          </w:p>
        </w:tc>
      </w:tr>
      <w:tr>
        <w:tc>
          <w:tcPr>
            <w:tcW w:type="dxa" w:w="2268"/>
          </w:tcPr>
          <w:p>
            <w:r>
              <w:rPr>
                <w:sz w:val="20"/>
              </w:rPr>
              <w:t>Status</w:t>
            </w:r>
          </w:p>
        </w:tc>
        <w:tc>
          <w:tcPr>
            <w:tcW w:type="dxa" w:w="7937"/>
          </w:tcPr>
          <w:p>
            <w:r>
              <w:rPr>
                <w:sz w:val="20"/>
              </w:rPr>
              <w:t>Draft v2.0</w:t>
            </w:r>
          </w:p>
        </w:tc>
      </w:tr>
      <w:tr>
        <w:tc>
          <w:tcPr>
            <w:tcW w:type="dxa" w:w="2268"/>
          </w:tcPr>
          <w:p>
            <w:r>
              <w:rPr>
                <w:sz w:val="20"/>
              </w:rPr>
              <w:t>Last updated</w:t>
            </w:r>
          </w:p>
        </w:tc>
        <w:tc>
          <w:tcPr>
            <w:tcW w:type="dxa" w:w="7937"/>
          </w:tcPr>
          <w:p>
            <w:r>
              <w:rPr>
                <w:sz w:val="20"/>
              </w:rPr>
              <w:t>2026-03-28</w:t>
            </w:r>
          </w:p>
        </w:tc>
      </w:tr>
    </w:tbl>
    <w:p/>
    <w:p>
      <w:pPr>
        <w:pStyle w:val="Heading1"/>
      </w:pPr>
      <w:r>
        <w:t>Definition of Ready checklist</w:t>
      </w:r>
    </w:p>
    <w:p>
      <w:pPr>
        <w:pStyle w:val="ListBullet"/>
      </w:pPr>
      <w:r>
        <w:t>Objective defined and accepted by stakeholders.</w:t>
      </w:r>
    </w:p>
    <w:p>
      <w:pPr>
        <w:pStyle w:val="ListBullet"/>
      </w:pPr>
      <w:r>
        <w:t>Primary and secondary audiences identified.</w:t>
      </w:r>
    </w:p>
    <w:p>
      <w:pPr>
        <w:pStyle w:val="ListBullet"/>
      </w:pPr>
      <w:r>
        <w:t>Artifact, success criteria, and acceptance tests agreed.</w:t>
      </w:r>
    </w:p>
    <w:p>
      <w:pPr>
        <w:pStyle w:val="ListBullet"/>
      </w:pPr>
      <w:r>
        <w:t>Sources pinned with a freshness plan.</w:t>
      </w:r>
    </w:p>
    <w:p>
      <w:pPr>
        <w:pStyle w:val="ListBullet"/>
      </w:pPr>
      <w:r>
        <w:t>Roles named and review plan scheduled.</w:t>
      </w:r>
    </w:p>
    <w:p>
      <w:pPr>
        <w:pStyle w:val="Heading1"/>
      </w:pPr>
      <w:r>
        <w:t>Table of Contents</w:t>
      </w:r>
    </w:p>
    <w:p>
      <w:r>
        <w:rPr>
          <w:b w:val="0"/>
          <w:i w:val="0"/>
        </w:rPr>
        <w:t>Note: Update this table of contents after editing. In Microsoft Word, right-click and select Update Field to regenerate page numbers.</w:t>
      </w:r>
    </w:p>
    <w:p>
      <w:r>
        <w:t>1. Executive summary</w:t>
      </w:r>
    </w:p>
    <w:p>
      <w:r>
        <w:t>2. Product summary</w:t>
      </w:r>
    </w:p>
    <w:p>
      <w:r>
        <w:t>3. Market and audiences</w:t>
      </w:r>
    </w:p>
    <w:p>
      <w:r>
        <w:t xml:space="preserve">  3.1 Primary audience</w:t>
      </w:r>
    </w:p>
    <w:p>
      <w:r>
        <w:t xml:space="preserve">  3.2 Secondary audience</w:t>
      </w:r>
    </w:p>
    <w:p>
      <w:r>
        <w:t xml:space="preserve">  3.3 TAM, SAM, SOM</w:t>
      </w:r>
    </w:p>
    <w:p>
      <w:r>
        <w:t>4. Problem statement and Jobs to be Done</w:t>
      </w:r>
    </w:p>
    <w:p>
      <w:r>
        <w:t>5. Competitor landscape</w:t>
      </w:r>
    </w:p>
    <w:p>
      <w:r>
        <w:t>6. Product principles and positioning</w:t>
      </w:r>
    </w:p>
    <w:p>
      <w:r>
        <w:t>7. Features and value</w:t>
      </w:r>
    </w:p>
    <w:p>
      <w:r>
        <w:t xml:space="preserve">  7.1 Market Overview</w:t>
      </w:r>
    </w:p>
    <w:p>
      <w:r>
        <w:t xml:space="preserve">  7.2 Competitive Landscape</w:t>
      </w:r>
    </w:p>
    <w:p>
      <w:r>
        <w:t xml:space="preserve">  7.3 Sentiment Intelligence</w:t>
      </w:r>
    </w:p>
    <w:p>
      <w:r>
        <w:t xml:space="preserve">  7.4 Foresight (Forecast Simulator)</w:t>
      </w:r>
    </w:p>
    <w:p>
      <w:r>
        <w:t xml:space="preserve">  7.5 Market Watch: Release Radar and Collision Risk</w:t>
      </w:r>
    </w:p>
    <w:p>
      <w:r>
        <w:t xml:space="preserve">  7.6 Alerts and Subscriptions</w:t>
      </w:r>
    </w:p>
    <w:p>
      <w:r>
        <w:t xml:space="preserve">  7.7 The Sage (AI Advisor)</w:t>
      </w:r>
    </w:p>
    <w:p>
      <w:r>
        <w:t xml:space="preserve">  7.8 Executive Dashboard</w:t>
      </w:r>
    </w:p>
    <w:p>
      <w:r>
        <w:t xml:space="preserve">  7.9 Finance and IAP Pricing Intelligence</w:t>
      </w:r>
    </w:p>
    <w:p>
      <w:r>
        <w:t xml:space="preserve">  7.10 API and Integrations (Roadmap)</w:t>
      </w:r>
    </w:p>
    <w:p>
      <w:r>
        <w:t xml:space="preserve">  7.11 NBI Human Capital: Org Health Diagnostics</w:t>
      </w:r>
    </w:p>
    <w:p>
      <w:r>
        <w:t xml:space="preserve">  7.12 NBI Human Capital: Team Performance Analytics</w:t>
      </w:r>
    </w:p>
    <w:p>
      <w:r>
        <w:t xml:space="preserve">  7.13 NBI Human Capital: Burnout and Load Balance</w:t>
      </w:r>
    </w:p>
    <w:p>
      <w:r>
        <w:t xml:space="preserve">  7.14 NBI Human Capital: Skills Matrix and Staffing</w:t>
      </w:r>
    </w:p>
    <w:p>
      <w:r>
        <w:t xml:space="preserve">  7.15 NBI Human Capital: Hiring Forecast and Workforce Planning</w:t>
      </w:r>
    </w:p>
    <w:p>
      <w:r>
        <w:t xml:space="preserve">  7.16 NBI Human Capital: Compensation and Affordability</w:t>
      </w:r>
    </w:p>
    <w:p>
      <w:r>
        <w:t xml:space="preserve">  7.17 NBI Human Capital: Change Telemetry and Adoption</w:t>
      </w:r>
    </w:p>
    <w:p>
      <w:r>
        <w:t xml:space="preserve">  7.18 NBI Human Capital: Coaching Impact</w:t>
      </w:r>
    </w:p>
    <w:p>
      <w:r>
        <w:t xml:space="preserve">  7.19 NBI Human Capital: Studio Scorecards and OKRs</w:t>
      </w:r>
    </w:p>
    <w:p>
      <w:r>
        <w:t xml:space="preserve">  7.20 NBI Human Capital: Risk Register and Early Warning</w:t>
      </w:r>
    </w:p>
    <w:p>
      <w:r>
        <w:t>8. Ease of use and UX</w:t>
      </w:r>
    </w:p>
    <w:p>
      <w:r>
        <w:t>9. Data and architecture</w:t>
      </w:r>
    </w:p>
    <w:p>
      <w:r>
        <w:t>10. Pricing and packaging</w:t>
      </w:r>
    </w:p>
    <w:p>
      <w:r>
        <w:t>11. Success metrics</w:t>
      </w:r>
    </w:p>
    <w:p>
      <w:r>
        <w:t>12. Roadmap and release plan</w:t>
      </w:r>
    </w:p>
    <w:p>
      <w:r>
        <w:t>13. Go to market</w:t>
      </w:r>
    </w:p>
    <w:p>
      <w:r>
        <w:t>14. Security, compliance, SLA and support</w:t>
      </w:r>
    </w:p>
    <w:p>
      <w:r>
        <w:t>15. Risks, assumptions, dependencies, decisions</w:t>
      </w:r>
    </w:p>
    <w:p>
      <w:r>
        <w:t>16. Open questions</w:t>
      </w:r>
    </w:p>
    <w:p>
      <w:r>
        <w:t>17. Claims and assumptions table</w:t>
      </w:r>
    </w:p>
    <w:p>
      <w:r>
        <w:t>18. Glossary</w:t>
      </w:r>
    </w:p>
    <w:p>
      <w:r>
        <w:t>Appendix A: Demo plan and script</w:t>
      </w:r>
    </w:p>
    <w:p>
      <w:r>
        <w:t>Appendix B: Global policies and defaults</w:t>
      </w:r>
    </w:p>
    <w:p>
      <w:r>
        <w:t>Appendix C: Architecture and wireframe placeholders</w:t>
      </w:r>
    </w:p>
    <w:p>
      <w:pPr>
        <w:pStyle w:val="Heading1"/>
      </w:pPr>
      <w:r>
        <w:t>1. Executive summary</w:t>
      </w:r>
    </w:p>
    <w:p>
      <w:r>
        <w:t>Playsage is a decision suite for games operators that converts public game signals into traceable, defensible actions. It provides cross-platform market visibility (iOS, Google Play, Steam, PlayStation, Xbox), competitive diagnostics, sentiment intelligence, forward-looking forecasts with explainable drivers, release collision risk, configurable alerting, an AI advisor called The Sage that recommends next-best actions with expected lift ranges and evidence links, and a studio operations analytics pack covering org health, team performance, hiring, compensation benchmarking, and risk management.</w:t>
      </w:r>
    </w:p>
    <w:p>
      <w:r>
        <w:t>The platform serves operators across the studio spectrum, from indie CEOs to AAA publishers. The primary market is AA and AAA live-service studios and publishers, where the pain is sharpest (fragmented multi-platform data, high cost of poor timing and pricing decisions) and the budget exists to pay for a premium intelligence tool. The buyer varies by organisation: at an indie studio, the CEO; at a AAA publisher, a VP of product or director of analytics; at a portfolio level, a head of data strategy. Day-to-day users include live-ops directors, analysts, PMs, economy designers, and game designers. A self-serve Starter tier extends reach to indie studios, and portfolio dashboards serve investor and M&amp;A audiences. Every persona benefits from customisable dashboards, scenario planning via Foresight, and role-specific saved views.</w:t>
      </w:r>
    </w:p>
    <w:p>
      <w:r>
        <w:t>For the investor demo, Playsage must prove end-to-end value in a five-minute interactive flow. Success criteria: three investor questions answered live without leaving the UI, forecast accuracy context shown and accepted as reasonable, at least one Sage recommendation with evidence and quantified lift range, and exports handed over during the meeting. An offline clickable fallback ensures reliability in any venue. A suggested demo script is provided in Appendix A.</w:t>
      </w:r>
    </w:p>
    <w:p>
      <w:r>
        <w:t>The business impact centres on decision quality and speed. A studio using Playsage replaces fragmented workflows across multiple vendors and spreadsheets with a single workspace where every insight traces to its source. Competitive intelligence that previously required days of manual assembly becomes available on demand. Pricing and cadence decisions that were based on intuition are now backed by scenario models with quantified outcomes. The platform reduces vendor trust disputes by providing transparent methodology and provenance on every metric.</w:t>
      </w:r>
    </w:p>
    <w:p>
      <w:pPr>
        <w:pStyle w:val="Heading1"/>
      </w:pPr>
      <w:r>
        <w:t>2. Product summary</w:t>
      </w:r>
    </w:p>
    <w:p>
      <w:r>
        <w:t>Playsage is a decision suite for games operators that combines cross-platform data, analytical tools, and AI-driven workflows into a single workspace. It ingests public store data from iOS, Google Play, and Steam (with PlayStation and Xbox supported for releases and mock KPIs; console sentiment is sourced from web-scraped review aggregators such as Metacritic and OpenCritic rather than official store APIs), normalises definitions across platforms, and surfaces market intelligence through interactive dashboards, competitive comparison tools, NLP-driven sentiment analysis, explainable forecasting with scenario modelling across seven distinct scenario types (Live Game, Box + DLC, Box, DLC, Expansion, Mobile Game Live, and CRM/Marketing Campaign), and an AI advisor called The Sage.</w:t>
      </w:r>
    </w:p>
    <w:p>
      <w:r>
        <w:t>Alongside the core intelligence modules, Playsage includes an NBI Human Capital analytics pack that provides studio operations visibility: org health diagnostics, team performance analytics, burnout and load balance monitoring, skills matrix and staffing, hiring forecast and workforce planning, compensation and affordability benchmarking (enabling studios to benchmark salaries by role, grade, and location), change telemetry, coaching impact measurement, studio scorecards with OKR tracking, and a consolidated risk register with early warning alerts.</w:t>
      </w:r>
    </w:p>
    <w:p>
      <w:r>
        <w:t>The platform is designed for studios, publishers, and investors who need to make faster, evidence-backed decisions about game strategy, pricing, content cadence, market timing, and studio operations. Unlike existing market intelligence tools that focus on a single store or lack predictive capabilities, Playsage unifies mobile and PC data with forecasts, recommendations, studio operations analytics, and provenance transparency in one product.</w:t>
      </w:r>
    </w:p>
    <w:p>
      <w:pPr>
        <w:pStyle w:val="Heading1"/>
      </w:pPr>
      <w:r>
        <w:t>3. Market and audiences</w:t>
      </w:r>
    </w:p>
    <w:p>
      <w:pPr>
        <w:pStyle w:val="Heading2"/>
      </w:pPr>
      <w:r>
        <w:t>3.1 Primary audience</w:t>
      </w:r>
    </w:p>
    <w:p>
      <w:r>
        <w:t>Playsage serves operators across the commercial games spectrum. The primary market is AA and AAA live-service studios and publishers. These organisations have the sharpest pain (multi-platform titles generating fragmented data across stores, high-stakes pricing and cadence decisions, board-level reporting requirements) and the budget to invest in premium intelligence tooling. The buyer at these organisations is typically a VP of product, head of analytics, or studio director. A self-serve Starter tier extends reach to indie and smaller AA studios, and portfolio dashboards serve investor and M&amp;A audiences.</w:t>
      </w:r>
    </w:p>
    <w:p>
      <w:r>
        <w:t>At AA and AAA studios, the buyer and the daily user typically differ. The buyer is the VP or director who authorises the purchase. Daily users are PMs, analysts, live-ops directors, and economy designers who use the tool operationally. At indie or small AA studios, the CEO or studio head may be both buyer and primary user. Playsage must serve both: decision-makers get curated dashboards with quick-access scenario planning and alerts, while operators get deep filters, exports, and modelling tools.</w:t>
      </w:r>
    </w:p>
    <w:p>
      <w:pPr>
        <w:pStyle w:val="Heading3"/>
      </w:pPr>
      <w:r>
        <w:t>Persona: Studio Decision-Maker (Indie CEO to Publisher VP)</w:t>
      </w:r>
    </w:p>
    <w:tbl>
      <w:tblPr>
        <w:tblStyle w:val="LightGrid-Accent1"/>
        <w:tblW w:type="auto" w:w="0"/>
        <w:jc w:val="left"/>
        <w:tblLook w:firstColumn="1" w:firstRow="1" w:lastColumn="0" w:lastRow="0" w:noHBand="0" w:noVBand="1" w:val="04A0"/>
      </w:tblPr>
      <w:tblGrid>
        <w:gridCol w:w="4320"/>
        <w:gridCol w:w="4320"/>
      </w:tblGrid>
      <w:tr>
        <w:tc>
          <w:tcPr>
            <w:tcW w:type="dxa" w:w="2268"/>
          </w:tcPr>
          <w:p>
            <w:r>
              <w:rPr>
                <w:b/>
                <w:sz w:val="20"/>
              </w:rPr>
              <w:t>Item</w:t>
            </w:r>
          </w:p>
        </w:tc>
        <w:tc>
          <w:tcPr>
            <w:tcW w:type="dxa" w:w="7937"/>
          </w:tcPr>
          <w:p>
            <w:r>
              <w:rPr>
                <w:b/>
                <w:sz w:val="20"/>
              </w:rPr>
              <w:t>Detail</w:t>
            </w:r>
          </w:p>
        </w:tc>
      </w:tr>
      <w:tr>
        <w:tc>
          <w:tcPr>
            <w:tcW w:type="dxa" w:w="2268"/>
          </w:tcPr>
          <w:p>
            <w:r>
              <w:rPr>
                <w:sz w:val="20"/>
              </w:rPr>
              <w:t>Role</w:t>
            </w:r>
          </w:p>
        </w:tc>
        <w:tc>
          <w:tcPr>
            <w:tcW w:type="dxa" w:w="7937"/>
          </w:tcPr>
          <w:p>
            <w:r>
              <w:rPr>
                <w:sz w:val="20"/>
              </w:rPr>
              <w:t>Studio CEO, VP of Product, Head of Analytics, or equivalent decision-maker</w:t>
            </w:r>
          </w:p>
        </w:tc>
      </w:tr>
      <w:tr>
        <w:tc>
          <w:tcPr>
            <w:tcW w:type="dxa" w:w="2268"/>
          </w:tcPr>
          <w:p>
            <w:r>
              <w:rPr>
                <w:sz w:val="20"/>
              </w:rPr>
              <w:t>Goals</w:t>
            </w:r>
          </w:p>
        </w:tc>
        <w:tc>
          <w:tcPr>
            <w:tcW w:type="dxa" w:w="7937"/>
          </w:tcPr>
          <w:p>
            <w:r>
              <w:rPr>
                <w:sz w:val="20"/>
              </w:rPr>
              <w:t>Understand market position, identify portfolio risks, model scenarios, communicate strategy to board or investors</w:t>
            </w:r>
          </w:p>
        </w:tc>
      </w:tr>
      <w:tr>
        <w:tc>
          <w:tcPr>
            <w:tcW w:type="dxa" w:w="2268"/>
          </w:tcPr>
          <w:p>
            <w:r>
              <w:rPr>
                <w:sz w:val="20"/>
              </w:rPr>
              <w:t>Pains</w:t>
            </w:r>
          </w:p>
        </w:tc>
        <w:tc>
          <w:tcPr>
            <w:tcW w:type="dxa" w:w="7937"/>
          </w:tcPr>
          <w:p>
            <w:r>
              <w:rPr>
                <w:sz w:val="20"/>
              </w:rPr>
              <w:t>Too many disconnected data sources (typical AA studio uses 3 to 5 separate tools at a combined cost of $50,000 to $100,000 per year before analyst time), no single source of truth, slow manual reporting, pricing decisions based on gut feel</w:t>
            </w:r>
          </w:p>
        </w:tc>
      </w:tr>
      <w:tr>
        <w:tc>
          <w:tcPr>
            <w:tcW w:type="dxa" w:w="2268"/>
          </w:tcPr>
          <w:p>
            <w:r>
              <w:rPr>
                <w:sz w:val="20"/>
              </w:rPr>
              <w:t>Jobs to be done</w:t>
            </w:r>
          </w:p>
        </w:tc>
        <w:tc>
          <w:tcPr>
            <w:tcW w:type="dxa" w:w="7937"/>
          </w:tcPr>
          <w:p>
            <w:r>
              <w:rPr>
                <w:sz w:val="20"/>
              </w:rPr>
              <w:t>Compare title performance to genre peers; model revenue impact of a pricing change before committing; decide go/no-go on a release window; present data-backed strategy to the board</w:t>
            </w:r>
          </w:p>
        </w:tc>
      </w:tr>
      <w:tr>
        <w:tc>
          <w:tcPr>
            <w:tcW w:type="dxa" w:w="2268"/>
          </w:tcPr>
          <w:p>
            <w:r>
              <w:rPr>
                <w:sz w:val="20"/>
              </w:rPr>
              <w:t>Success metrics</w:t>
            </w:r>
          </w:p>
        </w:tc>
        <w:tc>
          <w:tcPr>
            <w:tcW w:type="dxa" w:w="7937"/>
          </w:tcPr>
          <w:p>
            <w:r>
              <w:rPr>
                <w:sz w:val="20"/>
              </w:rPr>
              <w:t>Time to insight reduced from days to minutes; board questions answered with traceable evidence; pricing decisions backed by scenario models</w:t>
            </w:r>
          </w:p>
        </w:tc>
      </w:tr>
    </w:tbl>
    <w:p/>
    <w:p>
      <w:pPr>
        <w:pStyle w:val="Heading3"/>
      </w:pPr>
      <w:r>
        <w:t>Persona: Live-ops Director or Product Manager</w:t>
      </w:r>
    </w:p>
    <w:tbl>
      <w:tblPr>
        <w:tblStyle w:val="LightGrid-Accent1"/>
        <w:tblW w:type="auto" w:w="0"/>
        <w:jc w:val="left"/>
        <w:tblLook w:firstColumn="1" w:firstRow="1" w:lastColumn="0" w:lastRow="0" w:noHBand="0" w:noVBand="1" w:val="04A0"/>
      </w:tblPr>
      <w:tblGrid>
        <w:gridCol w:w="4320"/>
        <w:gridCol w:w="4320"/>
      </w:tblGrid>
      <w:tr>
        <w:tc>
          <w:tcPr>
            <w:tcW w:type="dxa" w:w="2268"/>
          </w:tcPr>
          <w:p>
            <w:r>
              <w:rPr>
                <w:b/>
                <w:sz w:val="20"/>
              </w:rPr>
              <w:t>Item</w:t>
            </w:r>
          </w:p>
        </w:tc>
        <w:tc>
          <w:tcPr>
            <w:tcW w:type="dxa" w:w="7937"/>
          </w:tcPr>
          <w:p>
            <w:r>
              <w:rPr>
                <w:b/>
                <w:sz w:val="20"/>
              </w:rPr>
              <w:t>Detail</w:t>
            </w:r>
          </w:p>
        </w:tc>
      </w:tr>
      <w:tr>
        <w:tc>
          <w:tcPr>
            <w:tcW w:type="dxa" w:w="2268"/>
          </w:tcPr>
          <w:p>
            <w:r>
              <w:rPr>
                <w:sz w:val="20"/>
              </w:rPr>
              <w:t>Role</w:t>
            </w:r>
          </w:p>
        </w:tc>
        <w:tc>
          <w:tcPr>
            <w:tcW w:type="dxa" w:w="7937"/>
          </w:tcPr>
          <w:p>
            <w:r>
              <w:rPr>
                <w:sz w:val="20"/>
              </w:rPr>
              <w:t>Live-ops Director, Senior PM, or Analytics Lead</w:t>
            </w:r>
          </w:p>
        </w:tc>
      </w:tr>
      <w:tr>
        <w:tc>
          <w:tcPr>
            <w:tcW w:type="dxa" w:w="2268"/>
          </w:tcPr>
          <w:p>
            <w:r>
              <w:rPr>
                <w:sz w:val="20"/>
              </w:rPr>
              <w:t>Goals</w:t>
            </w:r>
          </w:p>
        </w:tc>
        <w:tc>
          <w:tcPr>
            <w:tcW w:type="dxa" w:w="7937"/>
          </w:tcPr>
          <w:p>
            <w:r>
              <w:rPr>
                <w:sz w:val="20"/>
              </w:rPr>
              <w:t>Optimise content cadence, spot sentiment shifts early, improve revenue per update, plan events with quantified expected outcomes</w:t>
            </w:r>
          </w:p>
        </w:tc>
      </w:tr>
      <w:tr>
        <w:tc>
          <w:tcPr>
            <w:tcW w:type="dxa" w:w="2268"/>
          </w:tcPr>
          <w:p>
            <w:r>
              <w:rPr>
                <w:sz w:val="20"/>
              </w:rPr>
              <w:t>Pains</w:t>
            </w:r>
          </w:p>
        </w:tc>
        <w:tc>
          <w:tcPr>
            <w:tcW w:type="dxa" w:w="7937"/>
          </w:tcPr>
          <w:p>
            <w:r>
              <w:rPr>
                <w:sz w:val="20"/>
              </w:rPr>
              <w:t>Manual review reading, spreadsheet forecasting, slow competitive intelligence, no clear link between actions and outcomes</w:t>
            </w:r>
          </w:p>
        </w:tc>
      </w:tr>
      <w:tr>
        <w:tc>
          <w:tcPr>
            <w:tcW w:type="dxa" w:w="2268"/>
          </w:tcPr>
          <w:p>
            <w:r>
              <w:rPr>
                <w:sz w:val="20"/>
              </w:rPr>
              <w:t>Jobs to be done</w:t>
            </w:r>
          </w:p>
        </w:tc>
        <w:tc>
          <w:tcPr>
            <w:tcW w:type="dxa" w:w="7937"/>
          </w:tcPr>
          <w:p>
            <w:r>
              <w:rPr>
                <w:sz w:val="20"/>
              </w:rPr>
              <w:t>Plan next month’s event cadence using competitor intelligence and scenario models; validate a pricing test before launch; catch a negative sentiment spike within hours; track whether a Sage recommendation actually delivered its predicted lift</w:t>
            </w:r>
          </w:p>
        </w:tc>
      </w:tr>
      <w:tr>
        <w:tc>
          <w:tcPr>
            <w:tcW w:type="dxa" w:w="2268"/>
          </w:tcPr>
          <w:p>
            <w:r>
              <w:rPr>
                <w:sz w:val="20"/>
              </w:rPr>
              <w:t>Success metrics</w:t>
            </w:r>
          </w:p>
        </w:tc>
        <w:tc>
          <w:tcPr>
            <w:tcW w:type="dxa" w:w="7937"/>
          </w:tcPr>
          <w:p>
            <w:r>
              <w:rPr>
                <w:sz w:val="20"/>
              </w:rPr>
              <w:t>Promo ROI improved; incident response time halved; content cadence gaps identified and closed</w:t>
            </w:r>
          </w:p>
        </w:tc>
      </w:tr>
    </w:tbl>
    <w:p/>
    <w:p>
      <w:pPr>
        <w:pStyle w:val="Heading2"/>
      </w:pPr>
      <w:r>
        <w:t>3.2 Secondary audience</w:t>
      </w:r>
    </w:p>
    <w:p>
      <w:r>
        <w:t>Adjacent buyers and influencers include Game Designers (who use competitive feature matrices and The Sage for design decisions), Economy Designers (who use pricing intelligence, IAP affordability data, and monetisation signature detection), Investor Relations and M&amp;A teams (who use TAM/SAM models and portfolio dashboards for due diligence), Publisher Operations (who use cross-title dashboards and scheduled reports for portfolio monitoring), Marketing and UA teams (who use market timing from Release Radar, competitor launch intelligence, and sentiment trends to align campaigns and user acquisition spend with product moments), and Studio Operations leads (who use the NBI Human Capital pack for org health, hiring planning, compensation benchmarking, and risk management). Each role benefits from role-specific saved views, custom alert configurations, and workspace personalisation.</w:t>
      </w:r>
    </w:p>
    <w:p>
      <w:pPr>
        <w:pStyle w:val="Heading2"/>
      </w:pPr>
      <w:r>
        <w:t>3.3 TAM, SAM, SOM</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417"/>
          </w:tcPr>
          <w:p>
            <w:r>
              <w:rPr>
                <w:b/>
                <w:sz w:val="20"/>
              </w:rPr>
              <w:t>Layer</w:t>
            </w:r>
          </w:p>
        </w:tc>
        <w:tc>
          <w:tcPr>
            <w:tcW w:type="dxa" w:w="2268"/>
          </w:tcPr>
          <w:p>
            <w:r>
              <w:rPr>
                <w:b/>
                <w:sz w:val="20"/>
              </w:rPr>
              <w:t>Definition</w:t>
            </w:r>
          </w:p>
        </w:tc>
        <w:tc>
          <w:tcPr>
            <w:tcW w:type="dxa" w:w="2268"/>
          </w:tcPr>
          <w:p>
            <w:r>
              <w:rPr>
                <w:b/>
                <w:sz w:val="20"/>
              </w:rPr>
              <w:t>Method</w:t>
            </w:r>
          </w:p>
        </w:tc>
        <w:tc>
          <w:tcPr>
            <w:tcW w:type="dxa" w:w="1984"/>
          </w:tcPr>
          <w:p>
            <w:r>
              <w:rPr>
                <w:b/>
                <w:sz w:val="20"/>
              </w:rPr>
              <w:t>Value</w:t>
            </w:r>
          </w:p>
        </w:tc>
        <w:tc>
          <w:tcPr>
            <w:tcW w:type="dxa" w:w="2268"/>
          </w:tcPr>
          <w:p>
            <w:r>
              <w:rPr>
                <w:b/>
                <w:sz w:val="20"/>
              </w:rPr>
              <w:t>Source and date</w:t>
            </w:r>
          </w:p>
        </w:tc>
      </w:tr>
      <w:tr>
        <w:tc>
          <w:tcPr>
            <w:tcW w:type="dxa" w:w="1417"/>
          </w:tcPr>
          <w:p>
            <w:r>
              <w:rPr>
                <w:sz w:val="20"/>
              </w:rPr>
              <w:t>TAM</w:t>
            </w:r>
          </w:p>
        </w:tc>
        <w:tc>
          <w:tcPr>
            <w:tcW w:type="dxa" w:w="2268"/>
          </w:tcPr>
          <w:p>
            <w:r>
              <w:rPr>
                <w:sz w:val="20"/>
              </w:rPr>
              <w:t>Total global spend on games analytics, market intelligence, and decision tools</w:t>
            </w:r>
          </w:p>
        </w:tc>
        <w:tc>
          <w:tcPr>
            <w:tcW w:type="dxa" w:w="2268"/>
          </w:tcPr>
          <w:p>
            <w:r>
              <w:rPr>
                <w:sz w:val="20"/>
              </w:rPr>
              <w:t>Top-down from Newzoo, IDG, and Grand View Research games analytics market reports</w:t>
            </w:r>
          </w:p>
        </w:tc>
        <w:tc>
          <w:tcPr>
            <w:tcW w:type="dxa" w:w="1984"/>
          </w:tcPr>
          <w:p>
            <w:r>
              <w:rPr>
                <w:sz w:val="20"/>
              </w:rPr>
              <w:t>Estimated at $2 to 4 billion per year globally, growing at an estimated 15 to 20 percent CAGR</w:t>
            </w:r>
          </w:p>
        </w:tc>
        <w:tc>
          <w:tcPr>
            <w:tcW w:type="dxa" w:w="2268"/>
          </w:tcPr>
          <w:p>
            <w:r>
              <w:rPr>
                <w:sz w:val="20"/>
              </w:rPr>
              <w:t>Newzoo Global Games Market Report 2024; Grand View Research Games Analytics Market 2024; refresh quarterly</w:t>
            </w:r>
          </w:p>
        </w:tc>
      </w:tr>
      <w:tr>
        <w:tc>
          <w:tcPr>
            <w:tcW w:type="dxa" w:w="1417"/>
          </w:tcPr>
          <w:p>
            <w:r>
              <w:rPr>
                <w:sz w:val="20"/>
              </w:rPr>
              <w:t>SAM</w:t>
            </w:r>
          </w:p>
        </w:tc>
        <w:tc>
          <w:tcPr>
            <w:tcW w:type="dxa" w:w="2268"/>
          </w:tcPr>
          <w:p>
            <w:r>
              <w:rPr>
                <w:sz w:val="20"/>
              </w:rPr>
              <w:t>Studios and publishers in English-speaking markets using iOS, Google Play, and Steam, with analytics budgets above entry threshold</w:t>
            </w:r>
          </w:p>
        </w:tc>
        <w:tc>
          <w:tcPr>
            <w:tcW w:type="dxa" w:w="2268"/>
          </w:tcPr>
          <w:p>
            <w:r>
              <w:rPr>
                <w:sz w:val="20"/>
              </w:rPr>
              <w:t>Bottom-up: count of studios with 2 or more active live titles, analytics spend above $10,000 per year, in English-speaking markets</w:t>
            </w:r>
          </w:p>
        </w:tc>
        <w:tc>
          <w:tcPr>
            <w:tcW w:type="dxa" w:w="1984"/>
          </w:tcPr>
          <w:p>
            <w:r>
              <w:rPr>
                <w:sz w:val="20"/>
              </w:rPr>
              <w:t>Estimated at $400 to 800 million per year</w:t>
            </w:r>
          </w:p>
        </w:tc>
        <w:tc>
          <w:tcPr>
            <w:tcW w:type="dxa" w:w="2268"/>
          </w:tcPr>
          <w:p>
            <w:r>
              <w:rPr>
                <w:sz w:val="20"/>
              </w:rPr>
              <w:t>Internal research, CRM data, and LinkedIn Sales Navigator filtering</w:t>
            </w:r>
          </w:p>
        </w:tc>
      </w:tr>
      <w:tr>
        <w:tc>
          <w:tcPr>
            <w:tcW w:type="dxa" w:w="1417"/>
          </w:tcPr>
          <w:p>
            <w:r>
              <w:rPr>
                <w:sz w:val="20"/>
              </w:rPr>
              <w:t>SOM</w:t>
            </w:r>
          </w:p>
        </w:tc>
        <w:tc>
          <w:tcPr>
            <w:tcW w:type="dxa" w:w="2268"/>
          </w:tcPr>
          <w:p>
            <w:r>
              <w:rPr>
                <w:sz w:val="20"/>
              </w:rPr>
              <w:t>Studios reachable through founder network, conference pipeline, and targeted outreach in Year 1</w:t>
            </w:r>
          </w:p>
        </w:tc>
        <w:tc>
          <w:tcPr>
            <w:tcW w:type="dxa" w:w="2268"/>
          </w:tcPr>
          <w:p>
            <w:r>
              <w:rPr>
                <w:sz w:val="20"/>
              </w:rPr>
              <w:t>Bottom-up: X qualified leads from pipeline multiplied by Y conversion rate multiplied by Z average ACV</w:t>
            </w:r>
          </w:p>
        </w:tc>
        <w:tc>
          <w:tcPr>
            <w:tcW w:type="dxa" w:w="1984"/>
          </w:tcPr>
          <w:p>
            <w:r>
              <w:rPr>
                <w:sz w:val="20"/>
              </w:rPr>
              <w:t>Estimated at $5 to 15 million ARR in Year 1</w:t>
            </w:r>
          </w:p>
        </w:tc>
        <w:tc>
          <w:tcPr>
            <w:tcW w:type="dxa" w:w="2268"/>
          </w:tcPr>
          <w:p>
            <w:r>
              <w:rPr>
                <w:sz w:val="20"/>
              </w:rPr>
              <w:t>Internal pipeline and early conversations</w:t>
            </w:r>
          </w:p>
        </w:tc>
      </w:tr>
    </w:tbl>
    <w:p/>
    <w:p>
      <w:pPr>
        <w:pStyle w:val="Heading1"/>
      </w:pPr>
      <w:r>
        <w:t>4. Problem statement and Jobs to be Done</w:t>
      </w:r>
    </w:p>
    <w:p>
      <w:r>
        <w:t>Games operators today face a fragmented landscape of data tools. Since Sensor Tower’s acquisition of data.ai in March 2024, the mobile intelligence market has consolidated further, but operators still need separate tools for PC/Steam data, sentiment analysis requires manual review reading, and forecasting is done in spreadsheets with no explainability. The cost of inaction is quantifiable: a studio that launches into a crowded genre window without collision analysis risks 10 to 20 percent lower week-one downloads. For a title targeting $2M in launch month revenue, that is $200,000 to $400,000 in avoidable lost revenue. Beyond timing, studios miss optimal release windows, react slowly to sentiment crises, under-invest in winning content cadences, and present strategy to boards without traceable evidence. Playsage eliminates these pains by unifying cross-platform intelligence with predictive analytics, a recommendation layer, and studio operations visibility.</w:t>
      </w:r>
    </w:p>
    <w:p>
      <w:pPr>
        <w:pStyle w:val="Heading3"/>
      </w:pPr>
      <w:r>
        <w:t>Jobs to be Done</w:t>
      </w:r>
    </w:p>
    <w:p>
      <w:pPr>
        <w:pStyle w:val="ListNumber"/>
      </w:pPr>
      <w:r>
        <w:t>When I need to assess market opportunity for a new title, I want to see TAM/SAM by genre and platform with transparent assumptions, so I can build a defensible business case.</w:t>
      </w:r>
    </w:p>
    <w:p>
      <w:pPr>
        <w:pStyle w:val="ListNumber"/>
      </w:pPr>
      <w:r>
        <w:t>When I am planning next quarter’s content cadence, I want to compare my update frequency and event types against genre leaders, so I can identify gaps and optimise timing.</w:t>
      </w:r>
    </w:p>
    <w:p>
      <w:pPr>
        <w:pStyle w:val="ListNumber"/>
      </w:pPr>
      <w:r>
        <w:t>When a patch ships, I want to see sentiment shift within hours with topic-level breakdowns, so I can decide whether a hotfix or communication is needed.</w:t>
      </w:r>
    </w:p>
    <w:p>
      <w:pPr>
        <w:pStyle w:val="ListNumber"/>
      </w:pPr>
      <w:r>
        <w:t>When preparing for a board meeting, I want a dashboard that answers common questions with traceable data sources, so I can present with confidence.</w:t>
      </w:r>
    </w:p>
    <w:p>
      <w:pPr>
        <w:pStyle w:val="ListNumber"/>
      </w:pPr>
      <w:r>
        <w:t>When evaluating a pricing change, I want to simulate the revenue impact using elasticity models and competitor context, so I can quantify risk before committing.</w:t>
      </w:r>
    </w:p>
    <w:p>
      <w:pPr>
        <w:pStyle w:val="ListNumber"/>
      </w:pPr>
      <w:r>
        <w:t>When I need to build a competitive teardown for Monday’s review, I want pre-assembled comparisons with version-annotated KPI curves, so I can focus on insight rather than data assembly.</w:t>
      </w:r>
    </w:p>
    <w:p>
      <w:pPr>
        <w:pStyle w:val="ListNumber"/>
      </w:pPr>
      <w:r>
        <w:t>When I am monitoring 5 live titles daily, I want alerts that tell me which title needs attention right now and why, so I can prioritise my time on the highest-impact issues.</w:t>
      </w:r>
    </w:p>
    <w:p>
      <w:pPr>
        <w:pStyle w:val="ListNumber"/>
      </w:pPr>
      <w:r>
        <w:t>When I am analysing whether last week’s event drove incremental revenue, I want to see pre-post sentiment and KPI deltas with statistical context, so I can report impact accurately.</w:t>
      </w:r>
    </w:p>
    <w:p>
      <w:pPr>
        <w:pStyle w:val="ListNumber"/>
      </w:pPr>
      <w:r>
        <w:t>When I am forecasting a Box + DLC title’s sell-through by region, I want to model launch curve shape, DLC attach rates, and discount calendars in one simulator with editable baselines, so I can build a defensible P&amp;L.</w:t>
      </w:r>
    </w:p>
    <w:p>
      <w:pPr>
        <w:pStyle w:val="ListNumber"/>
      </w:pPr>
      <w:r>
        <w:t>When I am planning studio headcount for next quarter, I want to see hiring pipeline conversion, compensation benchmarks by role and location, and affordability against forecast EBITDA, so I can hire confidently within budget.</w:t>
      </w:r>
    </w:p>
    <w:p>
      <w:pPr>
        <w:pStyle w:val="Heading1"/>
      </w:pPr>
      <w:r>
        <w:t>5. Competitor landscape</w:t>
      </w:r>
    </w:p>
    <w:p>
      <w:r>
        <w:t>Playsage competes across three categories: mobile market intelligence (Sensor Tower, which acquired data.ai in March 2024, plus AppMagic and Apptopia), PC/Steam analytics (VGInsights, Steam Data Suite, Gamalytic, SteamDB), and broader analytics or research platforms (Newzoo, GameAnalytics, internal BI teams). The Sensor Tower/data.ai consolidation has created a near-monopoly in mobile intelligence, which both raises prices for customers and creates an opening for a differentiated cross-platform entrant. No competitor unifies mobile and PC data with forecasting, an AI recommendation layer, studio operations analytics, and provenance transparency.</w:t>
      </w:r>
    </w:p>
    <w:tbl>
      <w:tblPr>
        <w:tblStyle w:val="LightGrid-Accent1"/>
        <w:tblW w:type="auto" w:w="0"/>
        <w:jc w:val="left"/>
        <w:tblLook w:firstColumn="1" w:firstRow="1" w:lastColumn="0" w:lastRow="0" w:noHBand="0" w:noVBand="1" w:val="04A0"/>
      </w:tblPr>
      <w:tblGrid>
        <w:gridCol w:w="1440"/>
        <w:gridCol w:w="1440"/>
        <w:gridCol w:w="1440"/>
        <w:gridCol w:w="1440"/>
        <w:gridCol w:w="1440"/>
        <w:gridCol w:w="1440"/>
      </w:tblGrid>
      <w:tr>
        <w:tc>
          <w:tcPr>
            <w:tcW w:type="dxa" w:w="1984"/>
          </w:tcPr>
          <w:p>
            <w:r>
              <w:rPr>
                <w:b/>
                <w:sz w:val="20"/>
              </w:rPr>
              <w:t>Competitor</w:t>
            </w:r>
          </w:p>
        </w:tc>
        <w:tc>
          <w:tcPr>
            <w:tcW w:type="dxa" w:w="1417"/>
          </w:tcPr>
          <w:p>
            <w:r>
              <w:rPr>
                <w:b/>
                <w:sz w:val="20"/>
              </w:rPr>
              <w:t>Segment</w:t>
            </w:r>
          </w:p>
        </w:tc>
        <w:tc>
          <w:tcPr>
            <w:tcW w:type="dxa" w:w="2268"/>
          </w:tcPr>
          <w:p>
            <w:r>
              <w:rPr>
                <w:b/>
                <w:sz w:val="20"/>
              </w:rPr>
              <w:t>Strengths</w:t>
            </w:r>
          </w:p>
        </w:tc>
        <w:tc>
          <w:tcPr>
            <w:tcW w:type="dxa" w:w="2268"/>
          </w:tcPr>
          <w:p>
            <w:r>
              <w:rPr>
                <w:b/>
                <w:sz w:val="20"/>
              </w:rPr>
              <w:t>Weaknesses</w:t>
            </w:r>
          </w:p>
        </w:tc>
        <w:tc>
          <w:tcPr>
            <w:tcW w:type="dxa" w:w="1134"/>
          </w:tcPr>
          <w:p>
            <w:r>
              <w:rPr>
                <w:b/>
                <w:sz w:val="20"/>
              </w:rPr>
              <w:t>Pricing notes</w:t>
            </w:r>
          </w:p>
        </w:tc>
        <w:tc>
          <w:tcPr>
            <w:tcW w:type="dxa" w:w="1134"/>
          </w:tcPr>
          <w:p>
            <w:r>
              <w:rPr>
                <w:b/>
                <w:sz w:val="20"/>
              </w:rPr>
              <w:t>Evidence</w:t>
            </w:r>
          </w:p>
        </w:tc>
      </w:tr>
      <w:tr>
        <w:tc>
          <w:tcPr>
            <w:tcW w:type="dxa" w:w="1984"/>
          </w:tcPr>
          <w:p>
            <w:r>
              <w:rPr>
                <w:sz w:val="20"/>
              </w:rPr>
              <w:t>Sensor Tower (including data.ai, GameRefinery)</w:t>
            </w:r>
          </w:p>
        </w:tc>
        <w:tc>
          <w:tcPr>
            <w:tcW w:type="dxa" w:w="1417"/>
          </w:tcPr>
          <w:p>
            <w:r>
              <w:rPr>
                <w:sz w:val="20"/>
              </w:rPr>
              <w:t>Mobile intelligence (dominant)</w:t>
            </w:r>
          </w:p>
        </w:tc>
        <w:tc>
          <w:tcPr>
            <w:tcW w:type="dxa" w:w="2268"/>
          </w:tcPr>
          <w:p>
            <w:r>
              <w:rPr>
                <w:sz w:val="20"/>
              </w:rPr>
              <w:t>Largest dataset after data.ai acquisition; store intelligence, ad intel, revenue estimates, feature taxonomy (via GameRefinery), APIs; strong enterprise brand</w:t>
            </w:r>
          </w:p>
        </w:tc>
        <w:tc>
          <w:tcPr>
            <w:tcW w:type="dxa" w:w="2268"/>
          </w:tcPr>
          <w:p>
            <w:r>
              <w:rPr>
                <w:sz w:val="20"/>
              </w:rPr>
              <w:t>Mobile-first; limited PC/Steam depth; no cross-store normalisation with PC; no AI advisor or scenario modelling; post-merger price increases reported; ~60% of data.ai staff laid off, integration ongoing. GameRefinery is mobile-only with no forecasting integration.</w:t>
            </w:r>
          </w:p>
        </w:tc>
        <w:tc>
          <w:tcPr>
            <w:tcW w:type="dxa" w:w="1134"/>
          </w:tcPr>
          <w:p>
            <w:r>
              <w:rPr>
                <w:sz w:val="20"/>
              </w:rPr>
              <w:t>Enterprise SaaS, per-seat; premium pricing trending upward post-merger</w:t>
            </w:r>
          </w:p>
        </w:tc>
        <w:tc>
          <w:tcPr>
            <w:tcW w:type="dxa" w:w="1134"/>
          </w:tcPr>
          <w:p>
            <w:r>
              <w:rPr>
                <w:sz w:val="20"/>
              </w:rPr>
              <w:t>Sensor Tower blog; TechCrunch March 2024; PocketGamer.biz April 2024</w:t>
            </w:r>
          </w:p>
        </w:tc>
      </w:tr>
      <w:tr>
        <w:tc>
          <w:tcPr>
            <w:tcW w:type="dxa" w:w="1984"/>
          </w:tcPr>
          <w:p>
            <w:r>
              <w:rPr>
                <w:sz w:val="20"/>
              </w:rPr>
              <w:t>AppMagic</w:t>
            </w:r>
          </w:p>
        </w:tc>
        <w:tc>
          <w:tcPr>
            <w:tcW w:type="dxa" w:w="1417"/>
          </w:tcPr>
          <w:p>
            <w:r>
              <w:rPr>
                <w:sz w:val="20"/>
              </w:rPr>
              <w:t>Mobile analytics</w:t>
            </w:r>
          </w:p>
        </w:tc>
        <w:tc>
          <w:tcPr>
            <w:tcW w:type="dxa" w:w="2268"/>
          </w:tcPr>
          <w:p>
            <w:r>
              <w:rPr>
                <w:sz w:val="20"/>
              </w:rPr>
              <w:t>Competitive pricing, fast UI, creative/ad library, useful release tracking</w:t>
            </w:r>
          </w:p>
        </w:tc>
        <w:tc>
          <w:tcPr>
            <w:tcW w:type="dxa" w:w="2268"/>
          </w:tcPr>
          <w:p>
            <w:r>
              <w:rPr>
                <w:sz w:val="20"/>
              </w:rPr>
              <w:t>Mobile-only; lighter depth on gaming-specific metrics; no forecasting or advisor</w:t>
            </w:r>
          </w:p>
        </w:tc>
        <w:tc>
          <w:tcPr>
            <w:tcW w:type="dxa" w:w="1134"/>
          </w:tcPr>
          <w:p>
            <w:r>
              <w:rPr>
                <w:sz w:val="20"/>
              </w:rPr>
              <w:t>Lower-cost SaaS</w:t>
            </w:r>
          </w:p>
        </w:tc>
        <w:tc>
          <w:tcPr>
            <w:tcW w:type="dxa" w:w="1134"/>
          </w:tcPr>
          <w:p>
            <w:r>
              <w:rPr>
                <w:sz w:val="20"/>
              </w:rPr>
              <w:t>Vendor site</w:t>
            </w:r>
          </w:p>
        </w:tc>
      </w:tr>
      <w:tr>
        <w:tc>
          <w:tcPr>
            <w:tcW w:type="dxa" w:w="1984"/>
          </w:tcPr>
          <w:p>
            <w:r>
              <w:rPr>
                <w:sz w:val="20"/>
              </w:rPr>
              <w:t>Apptopia</w:t>
            </w:r>
          </w:p>
        </w:tc>
        <w:tc>
          <w:tcPr>
            <w:tcW w:type="dxa" w:w="1417"/>
          </w:tcPr>
          <w:p>
            <w:r>
              <w:rPr>
                <w:sz w:val="20"/>
              </w:rPr>
              <w:t>Mobile intelligence</w:t>
            </w:r>
          </w:p>
        </w:tc>
        <w:tc>
          <w:tcPr>
            <w:tcW w:type="dxa" w:w="2268"/>
          </w:tcPr>
          <w:p>
            <w:r>
              <w:rPr>
                <w:sz w:val="20"/>
              </w:rPr>
              <w:t>SDK detection, company mapping, broad coverage, APIs; positioned as alternative post-merger</w:t>
            </w:r>
          </w:p>
        </w:tc>
        <w:tc>
          <w:tcPr>
            <w:tcW w:type="dxa" w:w="2268"/>
          </w:tcPr>
          <w:p>
            <w:r>
              <w:rPr>
                <w:sz w:val="20"/>
              </w:rPr>
              <w:t>Lighter gaming depth; no PC coverage; no recommendations</w:t>
            </w:r>
          </w:p>
        </w:tc>
        <w:tc>
          <w:tcPr>
            <w:tcW w:type="dxa" w:w="1134"/>
          </w:tcPr>
          <w:p>
            <w:r>
              <w:rPr>
                <w:sz w:val="20"/>
              </w:rPr>
              <w:t>Tiered SaaS</w:t>
            </w:r>
          </w:p>
        </w:tc>
        <w:tc>
          <w:tcPr>
            <w:tcW w:type="dxa" w:w="1134"/>
          </w:tcPr>
          <w:p>
            <w:r>
              <w:rPr>
                <w:sz w:val="20"/>
              </w:rPr>
              <w:t>Vendor site; Upptic analysis Sept 2024</w:t>
            </w:r>
          </w:p>
        </w:tc>
      </w:tr>
      <w:tr>
        <w:tc>
          <w:tcPr>
            <w:tcW w:type="dxa" w:w="1984"/>
          </w:tcPr>
          <w:p>
            <w:r>
              <w:rPr>
                <w:sz w:val="20"/>
              </w:rPr>
              <w:t>VGInsights / Steam Data Suite / Gamalytic / SteamDB</w:t>
            </w:r>
          </w:p>
        </w:tc>
        <w:tc>
          <w:tcPr>
            <w:tcW w:type="dxa" w:w="1417"/>
          </w:tcPr>
          <w:p>
            <w:r>
              <w:rPr>
                <w:sz w:val="20"/>
              </w:rPr>
              <w:t>PC/Steam analytics</w:t>
            </w:r>
          </w:p>
        </w:tc>
        <w:tc>
          <w:tcPr>
            <w:tcW w:type="dxa" w:w="2268"/>
          </w:tcPr>
          <w:p>
            <w:r>
              <w:rPr>
                <w:sz w:val="20"/>
              </w:rPr>
              <w:t>Steam sales estimates, tags, review analytics, release calendars, affordable. SteamDB: real-time Steam data, player counts, price tracking (free, community-driven)</w:t>
            </w:r>
          </w:p>
        </w:tc>
        <w:tc>
          <w:tcPr>
            <w:tcW w:type="dxa" w:w="2268"/>
          </w:tcPr>
          <w:p>
            <w:r>
              <w:rPr>
                <w:sz w:val="20"/>
              </w:rPr>
              <w:t>Steam-only; no mobile; no cross-platform normalisation; no forecasting. SteamDB is free and community-driven, limiting its commercial value but making it a default comparison for Steam studios.</w:t>
            </w:r>
          </w:p>
        </w:tc>
        <w:tc>
          <w:tcPr>
            <w:tcW w:type="dxa" w:w="1134"/>
          </w:tcPr>
          <w:p>
            <w:r>
              <w:rPr>
                <w:sz w:val="20"/>
              </w:rPr>
              <w:t>Affordable subscriptions</w:t>
            </w:r>
          </w:p>
        </w:tc>
        <w:tc>
          <w:tcPr>
            <w:tcW w:type="dxa" w:w="1134"/>
          </w:tcPr>
          <w:p>
            <w:r>
              <w:rPr>
                <w:sz w:val="20"/>
              </w:rPr>
              <w:t>Vendor sites</w:t>
            </w:r>
          </w:p>
        </w:tc>
      </w:tr>
      <w:tr>
        <w:tc>
          <w:tcPr>
            <w:tcW w:type="dxa" w:w="1984"/>
          </w:tcPr>
          <w:p>
            <w:r>
              <w:rPr>
                <w:sz w:val="20"/>
              </w:rPr>
              <w:t>Newzoo / IDG</w:t>
            </w:r>
          </w:p>
        </w:tc>
        <w:tc>
          <w:tcPr>
            <w:tcW w:type="dxa" w:w="1417"/>
          </w:tcPr>
          <w:p>
            <w:r>
              <w:rPr>
                <w:sz w:val="20"/>
              </w:rPr>
              <w:t>Market research</w:t>
            </w:r>
          </w:p>
        </w:tc>
        <w:tc>
          <w:tcPr>
            <w:tcW w:type="dxa" w:w="2268"/>
          </w:tcPr>
          <w:p>
            <w:r>
              <w:rPr>
                <w:sz w:val="20"/>
              </w:rPr>
              <w:t>Broad industry research, TAM models, audience data</w:t>
            </w:r>
          </w:p>
        </w:tc>
        <w:tc>
          <w:tcPr>
            <w:tcW w:type="dxa" w:w="2268"/>
          </w:tcPr>
          <w:p>
            <w:r>
              <w:rPr>
                <w:sz w:val="20"/>
              </w:rPr>
              <w:t>Report-based, not real-time tooling; no operational dashboards or alerts</w:t>
            </w:r>
          </w:p>
        </w:tc>
        <w:tc>
          <w:tcPr>
            <w:tcW w:type="dxa" w:w="1134"/>
          </w:tcPr>
          <w:p>
            <w:r>
              <w:rPr>
                <w:sz w:val="20"/>
              </w:rPr>
              <w:t>Report licensing</w:t>
            </w:r>
          </w:p>
        </w:tc>
        <w:tc>
          <w:tcPr>
            <w:tcW w:type="dxa" w:w="1134"/>
          </w:tcPr>
          <w:p>
            <w:r>
              <w:rPr>
                <w:sz w:val="20"/>
              </w:rPr>
              <w:t>Analyst reports</w:t>
            </w:r>
          </w:p>
        </w:tc>
      </w:tr>
      <w:tr>
        <w:tc>
          <w:tcPr>
            <w:tcW w:type="dxa" w:w="1984"/>
          </w:tcPr>
          <w:p>
            <w:r>
              <w:rPr>
                <w:sz w:val="20"/>
              </w:rPr>
              <w:t>GameAnalytics</w:t>
            </w:r>
          </w:p>
        </w:tc>
        <w:tc>
          <w:tcPr>
            <w:tcW w:type="dxa" w:w="1417"/>
          </w:tcPr>
          <w:p>
            <w:r>
              <w:rPr>
                <w:sz w:val="20"/>
              </w:rPr>
              <w:t>First-party game analytics</w:t>
            </w:r>
          </w:p>
        </w:tc>
        <w:tc>
          <w:tcPr>
            <w:tcW w:type="dxa" w:w="2268"/>
          </w:tcPr>
          <w:p>
            <w:r>
              <w:rPr>
                <w:sz w:val="20"/>
              </w:rPr>
              <w:t>Free tier, 140K+ games instrumented, real-time player analytics, benchmarks</w:t>
            </w:r>
          </w:p>
        </w:tc>
        <w:tc>
          <w:tcPr>
            <w:tcW w:type="dxa" w:w="2268"/>
          </w:tcPr>
          <w:p>
            <w:r>
              <w:rPr>
                <w:sz w:val="20"/>
              </w:rPr>
              <w:t>Requires SDK integration (first-party data only); no market intelligence or competitor data; no forecasting or advisory</w:t>
            </w:r>
          </w:p>
        </w:tc>
        <w:tc>
          <w:tcPr>
            <w:tcW w:type="dxa" w:w="1134"/>
          </w:tcPr>
          <w:p>
            <w:r>
              <w:rPr>
                <w:sz w:val="20"/>
              </w:rPr>
              <w:t>Freemium</w:t>
            </w:r>
          </w:p>
        </w:tc>
        <w:tc>
          <w:tcPr>
            <w:tcW w:type="dxa" w:w="1134"/>
          </w:tcPr>
          <w:p>
            <w:r>
              <w:rPr>
                <w:sz w:val="20"/>
              </w:rPr>
              <w:t>Vendor site</w:t>
            </w:r>
          </w:p>
        </w:tc>
      </w:tr>
    </w:tbl>
    <w:p/>
    <w:p>
      <w:r>
        <w:t>The Sensor Tower/data.ai merger is a strategic opportunity for Playsage. Post-merger price increases and integration disruption create a window for a differentiated entrant. Playsage differentiates through: unified cross-store normalisation with definition parity across mobile and PC, explainable and versioned forecasts with scenario sandboxes across seven scenario types, The Sage as a recommendation layer that ties evidence to actions, release collision risk scoring and advisory windows, studio operations analytics via the NBI Human Capital pack, and radical transparency via data provenance on every chart. Post-launch, win/loss interviews will be conducted for every competitive deal to track dynamics and refine positioning.</w:t>
      </w:r>
    </w:p>
    <w:p>
      <w:pPr>
        <w:pStyle w:val="Heading1"/>
      </w:pPr>
      <w:r>
        <w:t>6. Product principles and positioning</w:t>
      </w:r>
    </w:p>
    <w:p>
      <w:r>
        <w:rPr>
          <w:b/>
          <w:i w:val="0"/>
        </w:rPr>
        <w:t>Promise: Playsage turns industry-wide data into defensible decisions, faster.</w:t>
      </w:r>
    </w:p>
    <w:p>
      <w:pPr>
        <w:pStyle w:val="Heading3"/>
      </w:pPr>
      <w:r>
        <w:t>Proof</w:t>
      </w:r>
    </w:p>
    <w:p>
      <w:pPr>
        <w:pStyle w:val="ListBullet"/>
      </w:pPr>
      <w:r>
        <w:t>Unified cross-store data with normalised KPI definitions across iOS, Google Play, Steam, PlayStation, and Xbox.</w:t>
      </w:r>
    </w:p>
    <w:p>
      <w:pPr>
        <w:pStyle w:val="ListBullet"/>
      </w:pPr>
      <w:r>
        <w:t>Explainable, versioned forecasts with scenario sandboxes across seven scenario types (Live Game, Box + DLC, Box, DLC, Expansion, Mobile Game Live, CRM/Marketing Campaign) and on-chart accuracy metrics.</w:t>
      </w:r>
    </w:p>
    <w:p>
      <w:pPr>
        <w:pStyle w:val="ListBullet"/>
      </w:pPr>
      <w:r>
        <w:t>The Sage AI advisor that ties every recommendation to evidence and quantified lift ranges.</w:t>
      </w:r>
    </w:p>
    <w:p>
      <w:pPr>
        <w:pStyle w:val="ListBullet"/>
      </w:pPr>
      <w:r>
        <w:t>NBI Human Capital analytics pack providing studio operations visibility from org health to compensation benchmarking.</w:t>
      </w:r>
    </w:p>
    <w:p>
      <w:r>
        <w:rPr>
          <w:b w:val="0"/>
          <w:i w:val="0"/>
        </w:rPr>
        <w:t>Action: Schedule a demo to see Playsage answer three strategic questions in five minutes using your genre and competitor set. The following principles guide every product decision and trade-off.</w:t>
      </w:r>
    </w:p>
    <w:p>
      <w:r>
        <w:rPr>
          <w:b/>
          <w:i w:val="0"/>
        </w:rPr>
        <w:t>Positioning statement: For AA and AAA live-service studio leaders and games operations teams, Playsage is a cross-platform games decision suite that delivers market intelligence, forecasting, next-best-action recommendations, and studio operations analytics in one workspace. Unlike Sensor Tower and standalone PC tools, Playsage unifies mobile and PC data with explainable AI, scenario modelling, transparent data provenance, and an integrated studio operations layer, so every decision is traceable and defensible.</w:t>
      </w:r>
    </w:p>
    <w:p>
      <w:pPr>
        <w:pStyle w:val="Heading3"/>
      </w:pPr>
      <w:r>
        <w:t>Product principles</w:t>
      </w:r>
    </w:p>
    <w:p>
      <w:pPr>
        <w:pStyle w:val="ListBullet"/>
      </w:pPr>
      <w:r>
        <w:t>Evidence over opinion: all insights include sources and lift ranges.</w:t>
      </w:r>
    </w:p>
    <w:p>
      <w:pPr>
        <w:pStyle w:val="ListBullet"/>
      </w:pPr>
      <w:r>
        <w:t>Operator first: when a design trade-off arises between executive polish and operator depth, we choose depth. Power users drive retention; executives drive purchase. Designed for producers, PMs, UA, monetisation, and executives.</w:t>
      </w:r>
    </w:p>
    <w:p>
      <w:pPr>
        <w:pStyle w:val="ListBullet"/>
      </w:pPr>
      <w:r>
        <w:t>Actionable by default: every chart connects to a next action and alerting.</w:t>
      </w:r>
    </w:p>
    <w:p>
      <w:pPr>
        <w:pStyle w:val="ListBullet"/>
      </w:pPr>
      <w:r>
        <w:t>Secure by design: SSO, RBAC, audit trails, and masked exports.</w:t>
      </w:r>
    </w:p>
    <w:p>
      <w:pPr>
        <w:pStyle w:val="ListBullet"/>
      </w:pPr>
      <w:r>
        <w:t>Fresh and honest: data refreshes daily by 09:00 UTC. When we cannot be accurate, we say so with visible confidence levels and methodology.</w:t>
      </w:r>
    </w:p>
    <w:p>
      <w:pPr>
        <w:pStyle w:val="ListBullet"/>
      </w:pPr>
      <w:r>
        <w:t>Transparent methodology: modelled metrics labelled as Estimated with provenance detail showing source, transform summary, and last refresh. Note: the exact UI treatment for provenance (hover card, corner panel, or drawer) requires a dedicated UX design pass.</w:t>
      </w:r>
    </w:p>
    <w:p>
      <w:pPr>
        <w:pStyle w:val="Heading1"/>
      </w:pPr>
      <w:r>
        <w:t>7. Features and value</w:t>
      </w:r>
    </w:p>
    <w:p>
      <w:r>
        <w:t>Playsage delivers value across twenty modules: ten core intelligence modules and ten NBI Human Capital analytics modules. Aggregated across the core platform, a mid-size analytics team can expect to redirect approximately 30 or more analyst hours per week (range: 25 to 45) from manual data assembly, monitoring, and reporting to higher-value interpretation and strategy work. At a fully-loaded analyst cost of $60 to 80 per hour (based on Glassdoor median fully-loaded cost for Senior Game Analyst in US/UK markets, 2024 to 2025), this represents $78,000 to $187,000 per year in productivity gains alone. The higher-order value is in decision quality: pricing and cadence decisions backed by scenario models, incidents caught days earlier, and recommendations with quantified expected outcomes. All savings estimates are to be validated with baseline time-tracking during the pilot phase.</w:t>
      </w:r>
    </w:p>
    <w:p>
      <w:pPr>
        <w:pStyle w:val="Heading2"/>
      </w:pPr>
      <w:r>
        <w:t>7.1 Market Overview</w:t>
      </w:r>
    </w:p>
    <w:p>
      <w:r>
        <w:t>Fast view of market velocity, movers, and genre health across all supported platforms.</w:t>
      </w:r>
    </w:p>
    <w:tbl>
      <w:tblPr>
        <w:tblStyle w:val="LightGrid-Accent1"/>
        <w:tblW w:type="auto" w:w="0"/>
        <w:jc w:val="left"/>
        <w:tblLook w:firstColumn="1" w:firstRow="1" w:lastColumn="0" w:lastRow="0" w:noHBand="0" w:noVBand="1" w:val="04A0"/>
      </w:tblPr>
      <w:tblGrid>
        <w:gridCol w:w="4320"/>
        <w:gridCol w:w="4320"/>
      </w:tblGrid>
      <w:tr>
        <w:tc>
          <w:tcPr>
            <w:tcW w:type="dxa" w:w="2268"/>
          </w:tcPr>
          <w:p>
            <w:r>
              <w:rPr>
                <w:b/>
                <w:sz w:val="20"/>
              </w:rPr>
              <w:t>Item</w:t>
            </w:r>
          </w:p>
        </w:tc>
        <w:tc>
          <w:tcPr>
            <w:tcW w:type="dxa" w:w="7937"/>
          </w:tcPr>
          <w:p>
            <w:r>
              <w:rPr>
                <w:b/>
                <w:sz w:val="20"/>
              </w:rPr>
              <w:t>Detail</w:t>
            </w:r>
          </w:p>
        </w:tc>
      </w:tr>
      <w:tr>
        <w:tc>
          <w:tcPr>
            <w:tcW w:type="dxa" w:w="2268"/>
          </w:tcPr>
          <w:p>
            <w:r>
              <w:rPr>
                <w:sz w:val="20"/>
              </w:rPr>
              <w:t>Purpose</w:t>
            </w:r>
          </w:p>
        </w:tc>
        <w:tc>
          <w:tcPr>
            <w:tcW w:type="dxa" w:w="7937"/>
          </w:tcPr>
          <w:p>
            <w:r>
              <w:rPr>
                <w:sz w:val="20"/>
              </w:rPr>
              <w:t>Fast view of market velocity, movers, and genre health across all supported platforms.</w:t>
            </w:r>
          </w:p>
        </w:tc>
      </w:tr>
      <w:tr>
        <w:tc>
          <w:tcPr>
            <w:tcW w:type="dxa" w:w="2268"/>
          </w:tcPr>
          <w:p>
            <w:r>
              <w:rPr>
                <w:sz w:val="20"/>
              </w:rPr>
              <w:t>Short description</w:t>
            </w:r>
          </w:p>
        </w:tc>
        <w:tc>
          <w:tcPr>
            <w:tcW w:type="dxa" w:w="7937"/>
          </w:tcPr>
          <w:p>
            <w:r>
              <w:rPr>
                <w:sz w:val="20"/>
              </w:rPr>
              <w:t>Cross-store dashboards for iOS, Google Play, and Steam with unified KPI definitions and time alignment. Genre and sub-genre performance indexes with filters for platform, country, and time window. TAM and SAM models with transparent inputs, editable adoption and pricing sliders, and exportable assumptions. Leaders, climbers, and decliners tiles with 7, 30, and 90-day velocity. Collision risk score that quantifies release crowding by genre and region.</w:t>
            </w:r>
          </w:p>
        </w:tc>
      </w:tr>
      <w:tr>
        <w:tc>
          <w:tcPr>
            <w:tcW w:type="dxa" w:w="2268"/>
          </w:tcPr>
          <w:p>
            <w:r>
              <w:rPr>
                <w:sz w:val="20"/>
              </w:rPr>
              <w:t>Estimated savings/value</w:t>
            </w:r>
          </w:p>
        </w:tc>
        <w:tc>
          <w:tcPr>
            <w:tcW w:type="dxa" w:w="7937"/>
          </w:tcPr>
          <w:p>
            <w:r>
              <w:rPr>
                <w:sz w:val="20"/>
              </w:rPr>
              <w:t>Replaces a fragmented workflow of manual store scraping, spreadsheet assembly, and cross-referencing multiple vendor dashboards. Estimated savings: 6 to 10 analyst hours per week on market tracking, monitoring, and report assembly. At a fully-loaded analyst cost of $60 to 80 per hour, this represents $18,000 to $40,000 per year per analyst redirected to higher-value work. Quantification to be validated with baseline time-tracking during pilot phase.</w:t>
            </w:r>
          </w:p>
        </w:tc>
      </w:tr>
    </w:tbl>
    <w:p/>
    <w:p>
      <w:pPr>
        <w:pStyle w:val="Heading3"/>
      </w:pPr>
      <w:r>
        <w:t>Primary value use cases</w:t>
      </w:r>
    </w:p>
    <w:p>
      <w:pPr>
        <w:pStyle w:val="ListBullet"/>
      </w:pPr>
      <w:r>
        <w:t>Track top movers in a chosen genre across all platforms.</w:t>
      </w:r>
    </w:p>
    <w:p>
      <w:pPr>
        <w:pStyle w:val="ListBullet"/>
      </w:pPr>
      <w:r>
        <w:t>Monitor platform and region splits for portfolio titles.</w:t>
      </w:r>
    </w:p>
    <w:p>
      <w:pPr>
        <w:pStyle w:val="ListBullet"/>
      </w:pPr>
      <w:r>
        <w:t>Export a filtered market snapshot for a board or investor update.</w:t>
      </w:r>
    </w:p>
    <w:p>
      <w:pPr>
        <w:pStyle w:val="ListBullet"/>
      </w:pPr>
      <w:r>
        <w:t>Build a defensible TAM/SAM case with editable assumptions.</w:t>
      </w:r>
    </w:p>
    <w:p>
      <w:pPr>
        <w:pStyle w:val="ListBullet"/>
      </w:pPr>
      <w:r>
        <w:t>Assess release window crowding before committing a launch date.</w:t>
      </w:r>
    </w:p>
    <w:p>
      <w:pPr>
        <w:pStyle w:val="Heading3"/>
      </w:pPr>
      <w:r>
        <w:t>Design specification</w:t>
      </w:r>
    </w:p>
    <w:p>
      <w:r>
        <w:rPr>
          <w:b/>
        </w:rPr>
        <w:t xml:space="preserve">Filters: </w:t>
      </w:r>
      <w:r>
        <w:t>Platform (iOS, Google Play, Steam, PlayStation, Xbox), region, genre, sub-genre, business model, time window</w:t>
      </w:r>
    </w:p>
    <w:p>
      <w:r>
        <w:rPr>
          <w:b/>
        </w:rPr>
        <w:t xml:space="preserve">KPIs displayed: </w:t>
      </w:r>
      <w:r>
        <w:t>DAU proxy, MAU proxy, revenue proxy, ARPDAU, estimated conversion proxy, estimated retention proxy (D1, D7; derived from review cadence and rating trend patterns, not actual cohort data; flagged as low-confidence), rank deltas</w:t>
      </w:r>
    </w:p>
    <w:p>
      <w:r>
        <w:rPr>
          <w:b/>
        </w:rPr>
        <w:t xml:space="preserve">Views: </w:t>
      </w:r>
      <w:r>
        <w:t>Top 25 by genre; My watchlist; Regional split</w:t>
      </w:r>
    </w:p>
    <w:p>
      <w:r>
        <w:rPr>
          <w:b/>
        </w:rPr>
        <w:t xml:space="preserve">Core interactions: </w:t>
      </w:r>
      <w:r>
        <w:t>Filter, save view, drill to Competitive Landscape, export CSV/PDF/PNG</w:t>
      </w:r>
    </w:p>
    <w:p>
      <w:r>
        <w:rPr>
          <w:b/>
        </w:rPr>
        <w:t xml:space="preserve">States: </w:t>
      </w:r>
      <w:r>
        <w:t>Loading: skeleton tiles. Empty: guided prompt. Estimated: badge with provenance detail (source, transform, last refresh). Provenance UI treatment to be finalised in UX design pass.</w:t>
      </w:r>
    </w:p>
    <w:p>
      <w:r>
        <w:rPr>
          <w:b/>
        </w:rPr>
        <w:t xml:space="preserve">Performance SLO: </w:t>
      </w:r>
      <w:r>
        <w:t>P95 filter response time 3 seconds or less. Alpha milestone: validated on seeded dataset. GA target: sustained at full catalog scale.</w:t>
      </w:r>
    </w:p>
    <w:p>
      <w:r>
        <w:rPr>
          <w:b/>
        </w:rPr>
        <w:t xml:space="preserve">Permissions/roles: </w:t>
      </w:r>
      <w:r>
        <w:t>Admin: full access and org settings. Editor: create/edit shared views. Viewer: read and save personal views.</w:t>
      </w:r>
    </w:p>
    <w:p>
      <w:r>
        <w:rPr>
          <w:b/>
        </w:rPr>
        <w:t xml:space="preserve">Provenance: </w:t>
      </w:r>
      <w:r>
        <w:t>All modelled metrics labelled Estimated. Detail includes source, transform summary, and last refresh timestamp.</w:t>
      </w:r>
    </w:p>
    <w:p>
      <w:pPr>
        <w:pStyle w:val="Heading3"/>
      </w:pPr>
      <w:r>
        <w:t>Technical specification</w:t>
      </w:r>
    </w:p>
    <w:p>
      <w:r>
        <w:rPr>
          <w:b/>
        </w:rPr>
        <w:t xml:space="preserve">Data inputs: </w:t>
      </w:r>
      <w:r>
        <w:t>Store leaderboards, price points, app metadata; curated seeded catalog of 50 titles across 3 or more genres</w:t>
      </w:r>
    </w:p>
    <w:p>
      <w:r>
        <w:rPr>
          <w:b/>
        </w:rPr>
        <w:t xml:space="preserve">Transforms/jobs: </w:t>
      </w:r>
      <w:r>
        <w:t>Normalise ranks; map ranks to DAU/revenue proxies via platform-specific calibration curves; compute deltas. Scheduled daily.</w:t>
      </w:r>
    </w:p>
    <w:p>
      <w:r>
        <w:rPr>
          <w:b/>
        </w:rPr>
        <w:t xml:space="preserve">Storage: </w:t>
      </w:r>
      <w:r>
        <w:t>Tables: titles, title_platforms, title_genres, title_regions, kpi_daily, kpi_periodic, price_history</w:t>
      </w:r>
    </w:p>
    <w:p>
      <w:r>
        <w:rPr>
          <w:b/>
        </w:rPr>
        <w:t xml:space="preserve">Algorithms: </w:t>
      </w:r>
      <w:r>
        <w:t>Rank-to-DAU mapping curves per platform; smoothing windows for deltas</w:t>
      </w:r>
    </w:p>
    <w:p>
      <w:r>
        <w:rPr>
          <w:b/>
        </w:rPr>
        <w:t xml:space="preserve">Services/endpoints: </w:t>
      </w:r>
      <w:r>
        <w:t>FastAPI read endpoints behind the UI. No public API in v1.</w:t>
      </w:r>
    </w:p>
    <w:p>
      <w:r>
        <w:rPr>
          <w:b/>
        </w:rPr>
        <w:t xml:space="preserve">Security/RBAC: </w:t>
      </w:r>
      <w:r>
        <w:t>Role-based access control: Admin, Editor, Viewer. Org-scoped data.</w:t>
      </w:r>
    </w:p>
    <w:p>
      <w:r>
        <w:rPr>
          <w:b/>
        </w:rPr>
        <w:t xml:space="preserve">Observability: </w:t>
      </w:r>
      <w:r>
        <w:t>Freshness tracker, tile cache hit rate, filter latency logs</w:t>
      </w:r>
    </w:p>
    <w:p>
      <w:r>
        <w:rPr>
          <w:b/>
        </w:rPr>
        <w:t xml:space="preserve">Feature flags: </w:t>
      </w:r>
      <w:r>
        <w:t>Watchlist beta, genre heat map experimental</w:t>
      </w:r>
    </w:p>
    <w:p>
      <w:pPr>
        <w:pStyle w:val="Heading3"/>
      </w:pPr>
      <w:r>
        <w:t>Acceptance criteria</w:t>
      </w:r>
    </w:p>
    <w:p>
      <w:pPr>
        <w:pStyle w:val="ListNumber"/>
      </w:pPr>
      <w:r>
        <w:t>Given a user selects genre Shooter and platform Steam, When the filter is applied, Then the dashboard updates in 3 seconds or less showing only matching titles.</w:t>
      </w:r>
    </w:p>
    <w:p>
      <w:pPr>
        <w:pStyle w:val="ListNumber"/>
      </w:pPr>
      <w:r>
        <w:t>Given a user creates a saved view with custom filters, When they return to the dashboard, Then the saved view persists with all filters intact.</w:t>
      </w:r>
    </w:p>
    <w:p>
      <w:pPr>
        <w:pStyle w:val="ListNumber"/>
      </w:pPr>
      <w:r>
        <w:t>Given a user clicks Export CSV, When the export completes, Then the downloaded file reflects the currently active filters exactly.</w:t>
      </w:r>
    </w:p>
    <w:p>
      <w:pPr>
        <w:pStyle w:val="ListNumber"/>
      </w:pPr>
      <w:r>
        <w:t>Given an estimated metric is displayed, When the user interacts with it, Then a provenance detail appears showing source, method, and last refresh.</w:t>
      </w:r>
    </w:p>
    <w:p>
      <w:pPr>
        <w:pStyle w:val="ListNumber"/>
      </w:pPr>
      <w:r>
        <w:t>Given the network is unavailable, When the user loads Market Overview, Then offline fallback tiles render with a last-updated timestamp.</w:t>
      </w:r>
    </w:p>
    <w:p>
      <w:pPr>
        <w:pStyle w:val="Heading3"/>
      </w:pPr>
      <w:r>
        <w:t>Non-goals and constraints</w:t>
      </w:r>
    </w:p>
    <w:p>
      <w:pPr>
        <w:pStyle w:val="ListBullet"/>
      </w:pPr>
      <w:r>
        <w:t>Real-time user-level attribution</w:t>
      </w:r>
    </w:p>
    <w:p>
      <w:pPr>
        <w:pStyle w:val="ListBullet"/>
      </w:pPr>
      <w:r>
        <w:t>Ad spend reconciliation</w:t>
      </w:r>
    </w:p>
    <w:p>
      <w:pPr>
        <w:pStyle w:val="ListBullet"/>
      </w:pPr>
      <w:r>
        <w:t>Custom data source ingestion (post-demo)</w:t>
      </w:r>
    </w:p>
    <w:p>
      <w:pPr>
        <w:pStyle w:val="Heading2"/>
      </w:pPr>
      <w:r>
        <w:t>7.2 Competitive Landscape</w:t>
      </w:r>
    </w:p>
    <w:p>
      <w:r>
        <w:t>Compare any two titles with a genre median baseline; highlight feature and KPI deltas over time.</w:t>
      </w:r>
    </w:p>
    <w:tbl>
      <w:tblPr>
        <w:tblStyle w:val="LightGrid-Accent1"/>
        <w:tblW w:type="auto" w:w="0"/>
        <w:jc w:val="left"/>
        <w:tblLook w:firstColumn="1" w:firstRow="1" w:lastColumn="0" w:lastRow="0" w:noHBand="0" w:noVBand="1" w:val="04A0"/>
      </w:tblPr>
      <w:tblGrid>
        <w:gridCol w:w="4320"/>
        <w:gridCol w:w="4320"/>
      </w:tblGrid>
      <w:tr>
        <w:tc>
          <w:tcPr>
            <w:tcW w:type="dxa" w:w="2268"/>
          </w:tcPr>
          <w:p>
            <w:r>
              <w:rPr>
                <w:b/>
                <w:sz w:val="20"/>
              </w:rPr>
              <w:t>Item</w:t>
            </w:r>
          </w:p>
        </w:tc>
        <w:tc>
          <w:tcPr>
            <w:tcW w:type="dxa" w:w="7937"/>
          </w:tcPr>
          <w:p>
            <w:r>
              <w:rPr>
                <w:b/>
                <w:sz w:val="20"/>
              </w:rPr>
              <w:t>Detail</w:t>
            </w:r>
          </w:p>
        </w:tc>
      </w:tr>
      <w:tr>
        <w:tc>
          <w:tcPr>
            <w:tcW w:type="dxa" w:w="2268"/>
          </w:tcPr>
          <w:p>
            <w:r>
              <w:rPr>
                <w:sz w:val="20"/>
              </w:rPr>
              <w:t>Purpose</w:t>
            </w:r>
          </w:p>
        </w:tc>
        <w:tc>
          <w:tcPr>
            <w:tcW w:type="dxa" w:w="7937"/>
          </w:tcPr>
          <w:p>
            <w:r>
              <w:rPr>
                <w:sz w:val="20"/>
              </w:rPr>
              <w:t>Compare any two titles with a genre median baseline; highlight feature and KPI deltas over time.</w:t>
            </w:r>
          </w:p>
        </w:tc>
      </w:tr>
      <w:tr>
        <w:tc>
          <w:tcPr>
            <w:tcW w:type="dxa" w:w="2268"/>
          </w:tcPr>
          <w:p>
            <w:r>
              <w:rPr>
                <w:sz w:val="20"/>
              </w:rPr>
              <w:t>Short description</w:t>
            </w:r>
          </w:p>
        </w:tc>
        <w:tc>
          <w:tcPr>
            <w:tcW w:type="dxa" w:w="7937"/>
          </w:tcPr>
          <w:p>
            <w:r>
              <w:rPr>
                <w:sz w:val="20"/>
              </w:rPr>
              <w:t>Head-to-head title compare with genre median baseline and version annotations. Feature diff matrix covering monetisation patterns, event cadence, content types, and update frequency. What Changed inspector that auto-highlights shifts tied to updates, review spikes, or competitor moves. Price and promo history overlay.</w:t>
            </w:r>
          </w:p>
        </w:tc>
      </w:tr>
      <w:tr>
        <w:tc>
          <w:tcPr>
            <w:tcW w:type="dxa" w:w="2268"/>
          </w:tcPr>
          <w:p>
            <w:r>
              <w:rPr>
                <w:sz w:val="20"/>
              </w:rPr>
              <w:t>Estimated savings/value</w:t>
            </w:r>
          </w:p>
        </w:tc>
        <w:tc>
          <w:tcPr>
            <w:tcW w:type="dxa" w:w="7937"/>
          </w:tcPr>
          <w:p>
            <w:r>
              <w:rPr>
                <w:sz w:val="20"/>
              </w:rPr>
              <w:t>Replaces manual competitive teardowns that require assembling data from multiple sources, aligning timeframes, and building comparison decks. Estimated savings: 4 to 6 analyst hours per teardown, with most teams running 2 to 4 teardowns per month. At $60 to 80 per hour, that is $6,000 to $23,000 per year. More importantly, teardown turnaround drops from days to minutes, enabling competitive response during live-ops windows rather than after the fact.</w:t>
            </w:r>
          </w:p>
        </w:tc>
      </w:tr>
    </w:tbl>
    <w:p/>
    <w:p>
      <w:pPr>
        <w:pStyle w:val="Heading3"/>
      </w:pPr>
      <w:r>
        <w:t>Primary value use cases</w:t>
      </w:r>
    </w:p>
    <w:p>
      <w:pPr>
        <w:pStyle w:val="ListBullet"/>
      </w:pPr>
      <w:r>
        <w:t>Benchmark a tracked title against its genre median or a user-defined peer set.</w:t>
      </w:r>
    </w:p>
    <w:p>
      <w:pPr>
        <w:pStyle w:val="ListBullet"/>
      </w:pPr>
      <w:r>
        <w:t>Surface content cadence or pricing gaps to address in planning.</w:t>
      </w:r>
    </w:p>
    <w:p>
      <w:pPr>
        <w:pStyle w:val="ListBullet"/>
      </w:pPr>
      <w:r>
        <w:t>Share a KPI gap snapshot with executives for strategic review.</w:t>
      </w:r>
    </w:p>
    <w:p>
      <w:pPr>
        <w:pStyle w:val="ListBullet"/>
      </w:pPr>
      <w:r>
        <w:t>Identify why a competitor title surged using the What Changed inspector.</w:t>
      </w:r>
    </w:p>
    <w:p>
      <w:pPr>
        <w:pStyle w:val="Heading3"/>
      </w:pPr>
      <w:r>
        <w:t>Design specification</w:t>
      </w:r>
    </w:p>
    <w:p>
      <w:r>
        <w:rPr>
          <w:b/>
        </w:rPr>
        <w:t xml:space="preserve">Filters: </w:t>
      </w:r>
      <w:r>
        <w:t>Title A, Title B, platform, time window, baseline toggle (genre median)</w:t>
      </w:r>
    </w:p>
    <w:p>
      <w:r>
        <w:rPr>
          <w:b/>
        </w:rPr>
        <w:t xml:space="preserve">KPIs displayed: </w:t>
      </w:r>
      <w:r>
        <w:t>DAU/WAU/MAU proxies, ARPDAU, conversion, rank momentum, update cadence, price/promo history</w:t>
      </w:r>
    </w:p>
    <w:p>
      <w:r>
        <w:rPr>
          <w:b/>
        </w:rPr>
        <w:t xml:space="preserve">Views: </w:t>
      </w:r>
      <w:r>
        <w:t>Time-aligned KPI curves; Feature diff matrix; Feature and SKU maps</w:t>
      </w:r>
    </w:p>
    <w:p>
      <w:r>
        <w:rPr>
          <w:b/>
        </w:rPr>
        <w:t xml:space="preserve">Core interactions: </w:t>
      </w:r>
      <w:r>
        <w:t>Select titles, toggle baseline, hover for version annotations and patch notes, export</w:t>
      </w:r>
    </w:p>
    <w:p>
      <w:r>
        <w:rPr>
          <w:b/>
        </w:rPr>
        <w:t xml:space="preserve">States: </w:t>
      </w:r>
      <w:r>
        <w:t>Missing KPIs show Estimated ribbon. Low-history titles display a low-confidence badge with partial diff allowed.</w:t>
      </w:r>
    </w:p>
    <w:p>
      <w:r>
        <w:rPr>
          <w:b/>
        </w:rPr>
        <w:t xml:space="preserve">Performance SLO: </w:t>
      </w:r>
      <w:r>
        <w:t>Charts render in 2 seconds or less. Alpha: on demo cache. GA: full catalog.</w:t>
      </w:r>
    </w:p>
    <w:p>
      <w:r>
        <w:rPr>
          <w:b/>
        </w:rPr>
        <w:t xml:space="preserve">Cadence effectiveness: </w:t>
      </w:r>
      <w:r>
        <w:t>Cadence effectiveness equals change in KPI trend in 14-day window post-update divided by genre median change in the same window; positive values indicate above-average update impact.</w:t>
      </w:r>
    </w:p>
    <w:p>
      <w:pPr>
        <w:pStyle w:val="Heading3"/>
      </w:pPr>
      <w:r>
        <w:t>Technical specification</w:t>
      </w:r>
    </w:p>
    <w:p>
      <w:r>
        <w:rPr>
          <w:b/>
        </w:rPr>
        <w:t xml:space="preserve">Data inputs: </w:t>
      </w:r>
      <w:r>
        <w:t>kpi_daily, kpi_periodic, releases, price_history, monetisation_signatures</w:t>
      </w:r>
    </w:p>
    <w:p>
      <w:r>
        <w:rPr>
          <w:b/>
        </w:rPr>
        <w:t xml:space="preserve">Transforms/jobs: </w:t>
      </w:r>
      <w:r>
        <w:t>Version/time alignment; cadence effectiveness calculation; What Changed cards referencing patch notes and press</w:t>
      </w:r>
    </w:p>
    <w:p>
      <w:r>
        <w:rPr>
          <w:b/>
        </w:rPr>
        <w:t xml:space="preserve">Storage: </w:t>
      </w:r>
      <w:r>
        <w:t>monetisation_signatures, releases, patch_notes, content_tags</w:t>
      </w:r>
    </w:p>
    <w:p>
      <w:r>
        <w:rPr>
          <w:b/>
        </w:rPr>
        <w:t xml:space="preserve">Algorithms: </w:t>
      </w:r>
      <w:r>
        <w:t>Simple diff metrics, cadence priors</w:t>
      </w:r>
    </w:p>
    <w:p>
      <w:pPr>
        <w:pStyle w:val="Heading3"/>
      </w:pPr>
      <w:r>
        <w:t>Acceptance criteria</w:t>
      </w:r>
    </w:p>
    <w:p>
      <w:pPr>
        <w:pStyle w:val="ListNumber"/>
      </w:pPr>
      <w:r>
        <w:t>Given a user selects two titles, When the comparison loads, Then time-aligned KPI curves and a diff matrix with highlighted differences appear within 2 seconds.</w:t>
      </w:r>
    </w:p>
    <w:p>
      <w:pPr>
        <w:pStyle w:val="ListNumber"/>
      </w:pPr>
      <w:r>
        <w:t>Given a title received an update, When the user views the comparison, Then a version annotation pin appears on the timeline linked to patch notes.</w:t>
      </w:r>
    </w:p>
    <w:p>
      <w:pPr>
        <w:pStyle w:val="ListNumber"/>
      </w:pPr>
      <w:r>
        <w:t>Given one title lacks history for a KPI, When the comparison loads, Then a low-confidence ribbon appears and partial diff is shown.</w:t>
      </w:r>
    </w:p>
    <w:p>
      <w:pPr>
        <w:pStyle w:val="ListNumber"/>
      </w:pPr>
      <w:r>
        <w:t>Given the user clicks What Changed, Then the inspector highlights the top 3 material shifts with evidence links.</w:t>
      </w:r>
    </w:p>
    <w:p>
      <w:pPr>
        <w:pStyle w:val="Heading3"/>
      </w:pPr>
      <w:r>
        <w:t>Non-goals and constraints</w:t>
      </w:r>
    </w:p>
    <w:p>
      <w:pPr>
        <w:pStyle w:val="ListBullet"/>
      </w:pPr>
      <w:r>
        <w:t>Automated competitor monitoring alerts (covered in Alerts module)</w:t>
      </w:r>
    </w:p>
    <w:p>
      <w:pPr>
        <w:pStyle w:val="ListBullet"/>
      </w:pPr>
      <w:r>
        <w:t>Feature taxonomy editing by users (v2)</w:t>
      </w:r>
    </w:p>
    <w:p>
      <w:pPr>
        <w:pStyle w:val="ListBullet"/>
      </w:pPr>
      <w:r>
        <w:t>Multi-title comparison (v1 supports pairwise comparison of 2 titles; comparison of up to 5 titles targeted for Beta)</w:t>
      </w:r>
    </w:p>
    <w:p>
      <w:pPr>
        <w:pStyle w:val="Heading2"/>
      </w:pPr>
      <w:r>
        <w:t>7.3 Sentiment Intelligence</w:t>
      </w:r>
    </w:p>
    <w:p>
      <w:r>
        <w:t>Turn reviews and posts into interpretable signals tied to updates and promotions.</w:t>
      </w:r>
    </w:p>
    <w:tbl>
      <w:tblPr>
        <w:tblStyle w:val="LightGrid-Accent1"/>
        <w:tblW w:type="auto" w:w="0"/>
        <w:jc w:val="left"/>
        <w:tblLook w:firstColumn="1" w:firstRow="1" w:lastColumn="0" w:lastRow="0" w:noHBand="0" w:noVBand="1" w:val="04A0"/>
      </w:tblPr>
      <w:tblGrid>
        <w:gridCol w:w="4320"/>
        <w:gridCol w:w="4320"/>
      </w:tblGrid>
      <w:tr>
        <w:tc>
          <w:tcPr>
            <w:tcW w:type="dxa" w:w="2268"/>
          </w:tcPr>
          <w:p>
            <w:r>
              <w:rPr>
                <w:b/>
                <w:sz w:val="20"/>
              </w:rPr>
              <w:t>Item</w:t>
            </w:r>
          </w:p>
        </w:tc>
        <w:tc>
          <w:tcPr>
            <w:tcW w:type="dxa" w:w="7937"/>
          </w:tcPr>
          <w:p>
            <w:r>
              <w:rPr>
                <w:b/>
                <w:sz w:val="20"/>
              </w:rPr>
              <w:t>Detail</w:t>
            </w:r>
          </w:p>
        </w:tc>
      </w:tr>
      <w:tr>
        <w:tc>
          <w:tcPr>
            <w:tcW w:type="dxa" w:w="2268"/>
          </w:tcPr>
          <w:p>
            <w:r>
              <w:rPr>
                <w:sz w:val="20"/>
              </w:rPr>
              <w:t>Purpose</w:t>
            </w:r>
          </w:p>
        </w:tc>
        <w:tc>
          <w:tcPr>
            <w:tcW w:type="dxa" w:w="7937"/>
          </w:tcPr>
          <w:p>
            <w:r>
              <w:rPr>
                <w:sz w:val="20"/>
              </w:rPr>
              <w:t>Turn reviews and posts into interpretable signals tied to updates and promotions.</w:t>
            </w:r>
          </w:p>
        </w:tc>
      </w:tr>
      <w:tr>
        <w:tc>
          <w:tcPr>
            <w:tcW w:type="dxa" w:w="2268"/>
          </w:tcPr>
          <w:p>
            <w:r>
              <w:rPr>
                <w:sz w:val="20"/>
              </w:rPr>
              <w:t>Short description</w:t>
            </w:r>
          </w:p>
        </w:tc>
        <w:tc>
          <w:tcPr>
            <w:tcW w:type="dxa" w:w="7937"/>
          </w:tcPr>
          <w:p>
            <w:r>
              <w:rPr>
                <w:sz w:val="20"/>
              </w:rPr>
              <w:t>Daily sentiment index from App Store, Google Play, and Steam reviews with NLP topic clustering. Since Last Update view that contrasts pre vs post-patch topics and star ratings. Intent tags that separate bug reports, balance complaints, value objections, and delight signals. Verbatim browser with filters for platform, locale, version, and topic. Profanity masking on surfaced snippets. PlayStation and Xbox sentiment sourced from web-scraped review aggregators (Metacritic, OpenCritic user review sections).</w:t>
            </w:r>
          </w:p>
        </w:tc>
      </w:tr>
      <w:tr>
        <w:tc>
          <w:tcPr>
            <w:tcW w:type="dxa" w:w="2268"/>
          </w:tcPr>
          <w:p>
            <w:r>
              <w:rPr>
                <w:sz w:val="20"/>
              </w:rPr>
              <w:t>Estimated savings/value</w:t>
            </w:r>
          </w:p>
        </w:tc>
        <w:tc>
          <w:tcPr>
            <w:tcW w:type="dxa" w:w="7937"/>
          </w:tcPr>
          <w:p>
            <w:r>
              <w:rPr>
                <w:sz w:val="20"/>
              </w:rPr>
              <w:t>Converts an unstructured, time-consuming review-reading process into a structured, automated signal. Estimated savings: 5 to 8 analyst hours per week currently spent reading, tagging, and summarising reviews manually. At $60 to 80 per hour, that is $15,000 to $33,000 per year. The greater value is speed: sentiment shifts surface in hours rather than days, shrinking the window for negative sentiment to compound into rating drops or press coverage.</w:t>
            </w:r>
          </w:p>
        </w:tc>
      </w:tr>
    </w:tbl>
    <w:p/>
    <w:p>
      <w:pPr>
        <w:pStyle w:val="Heading3"/>
      </w:pPr>
      <w:r>
        <w:t>Primary value use cases</w:t>
      </w:r>
    </w:p>
    <w:p>
      <w:pPr>
        <w:pStyle w:val="ListBullet"/>
      </w:pPr>
      <w:r>
        <w:t>Verify the impact of a patch or promotion on player sentiment within hours.</w:t>
      </w:r>
    </w:p>
    <w:p>
      <w:pPr>
        <w:pStyle w:val="ListBullet"/>
      </w:pPr>
      <w:r>
        <w:t>Spot emergent themes (bugs, balance issues, value objections) before they escalate.</w:t>
      </w:r>
    </w:p>
    <w:p>
      <w:pPr>
        <w:pStyle w:val="ListBullet"/>
      </w:pPr>
      <w:r>
        <w:t>Trigger communications or hotfixes based on quantified sentiment shifts.</w:t>
      </w:r>
    </w:p>
    <w:p>
      <w:pPr>
        <w:pStyle w:val="ListBullet"/>
      </w:pPr>
      <w:r>
        <w:t>Provide verbatim-backed evidence for design decisions or executive updates.</w:t>
      </w:r>
    </w:p>
    <w:p>
      <w:pPr>
        <w:pStyle w:val="Heading3"/>
      </w:pPr>
      <w:r>
        <w:t>Design specification</w:t>
      </w:r>
    </w:p>
    <w:p>
      <w:r>
        <w:rPr>
          <w:b/>
        </w:rPr>
        <w:t xml:space="preserve">Filters: </w:t>
      </w:r>
      <w:r>
        <w:t>Title, platform, topic, time window, locale, app version</w:t>
      </w:r>
    </w:p>
    <w:p>
      <w:r>
        <w:rPr>
          <w:b/>
        </w:rPr>
        <w:t xml:space="preserve">KPIs displayed: </w:t>
      </w:r>
      <w:r>
        <w:t>Daily sentiment index, 7-day and 30-day deltas, review volume, topic weights</w:t>
      </w:r>
    </w:p>
    <w:p>
      <w:r>
        <w:rPr>
          <w:b/>
        </w:rPr>
        <w:t xml:space="preserve">Views: </w:t>
      </w:r>
      <w:r>
        <w:t>Topic clusters; Issue lanes (bug, balance, value, delight); Platform splits; Since Last Update comparison</w:t>
      </w:r>
    </w:p>
    <w:p>
      <w:r>
        <w:rPr>
          <w:b/>
        </w:rPr>
        <w:t xml:space="preserve">Core interactions: </w:t>
      </w:r>
      <w:r>
        <w:t>Click a topic to read safe sample verbatims; link to related release in Market Watch</w:t>
      </w:r>
    </w:p>
    <w:p>
      <w:r>
        <w:rPr>
          <w:b/>
        </w:rPr>
        <w:t xml:space="preserve">States: </w:t>
      </w:r>
      <w:r>
        <w:t>Loading: skeleton. No reviews: empty state with explanation. Profanity: masked with toggle for authorised users.</w:t>
      </w:r>
    </w:p>
    <w:p>
      <w:r>
        <w:rPr>
          <w:b/>
        </w:rPr>
        <w:t xml:space="preserve">Performance SLO: </w:t>
      </w:r>
      <w:r>
        <w:t>ETL complete by 09:00 UTC daily; UI response 2 seconds or less</w:t>
      </w:r>
    </w:p>
    <w:p>
      <w:pPr>
        <w:pStyle w:val="Heading3"/>
      </w:pPr>
      <w:r>
        <w:t>Technical specification</w:t>
      </w:r>
    </w:p>
    <w:p>
      <w:r>
        <w:rPr>
          <w:b/>
        </w:rPr>
        <w:t xml:space="preserve">Data inputs: </w:t>
      </w:r>
      <w:r>
        <w:t>App Store, Google Play, and Steam reviews for seeded catalog. PlayStation and Xbox sentiment sourced from web-scraped review aggregators (Metacritic, OpenCritic user review sections). Social media ingestion as future expansion.</w:t>
      </w:r>
    </w:p>
    <w:p>
      <w:r>
        <w:rPr>
          <w:b/>
        </w:rPr>
        <w:t xml:space="preserve">Transforms/jobs: </w:t>
      </w:r>
      <w:r>
        <w:t>Language detection, tokenisation, sentiment classification, topic modelling (BERTopic for v1 due to better coherence on short review texts; LDA available as fallback if compute budget is constrained), profanity masking (standard profanity filter plus configurable per-title word lists; hate speech and NSFW content always masked regardless of configuration). Daily scheduled.</w:t>
      </w:r>
    </w:p>
    <w:p>
      <w:r>
        <w:rPr>
          <w:b/>
        </w:rPr>
        <w:t xml:space="preserve">Storage: </w:t>
      </w:r>
      <w:r>
        <w:t>sentiment_daily_index, sentiment_topics</w:t>
      </w:r>
    </w:p>
    <w:p>
      <w:r>
        <w:rPr>
          <w:b/>
        </w:rPr>
        <w:t xml:space="preserve">Algorithms: </w:t>
      </w:r>
      <w:r>
        <w:t>NLP sentiment classifier, topic model, intent tagging rules</w:t>
      </w:r>
    </w:p>
    <w:p>
      <w:r>
        <w:rPr>
          <w:b/>
        </w:rPr>
        <w:t xml:space="preserve">Observability: </w:t>
      </w:r>
      <w:r>
        <w:t>Classifier drift monitoring, topic stability metrics</w:t>
      </w:r>
    </w:p>
    <w:p>
      <w:pPr>
        <w:pStyle w:val="Heading3"/>
      </w:pPr>
      <w:r>
        <w:t>Acceptance criteria</w:t>
      </w:r>
    </w:p>
    <w:p>
      <w:pPr>
        <w:pStyle w:val="ListNumber"/>
      </w:pPr>
      <w:r>
        <w:t>Given a user selects a title and date range, When the sentiment view loads, Then a trend line and topic clusters appear within 2 seconds.</w:t>
      </w:r>
    </w:p>
    <w:p>
      <w:pPr>
        <w:pStyle w:val="ListNumber"/>
      </w:pPr>
      <w:r>
        <w:t>Given a user clicks a topic cluster, Then sample verbatims appear with platform and version metadata.</w:t>
      </w:r>
    </w:p>
    <w:p>
      <w:pPr>
        <w:pStyle w:val="ListNumber"/>
      </w:pPr>
      <w:r>
        <w:t>Given a patch was released, When the user opens Since Last Update, Then pre-patch and post-patch sentiment and topics are contrasted clearly.</w:t>
      </w:r>
    </w:p>
    <w:p>
      <w:pPr>
        <w:pStyle w:val="ListNumber"/>
      </w:pPr>
      <w:r>
        <w:t>Given profanity appears in a review, Then the verbatim is masked by default with an unmasking option for Admin users only.</w:t>
      </w:r>
    </w:p>
    <w:p>
      <w:pPr>
        <w:pStyle w:val="ListNumber"/>
      </w:pPr>
      <w:r>
        <w:t>Given a title with fewer than 10 reviews in the selected time window, Then a low-volume warning appears and the sentiment index is suppressed or flagged as unreliable.</w:t>
      </w:r>
    </w:p>
    <w:p>
      <w:pPr>
        <w:pStyle w:val="Heading3"/>
      </w:pPr>
      <w:r>
        <w:t>Non-goals and constraints</w:t>
      </w:r>
    </w:p>
    <w:p>
      <w:pPr>
        <w:pStyle w:val="ListBullet"/>
      </w:pPr>
      <w:r>
        <w:t>Social media sentiment (post-demo expansion)</w:t>
      </w:r>
    </w:p>
    <w:p>
      <w:pPr>
        <w:pStyle w:val="ListBullet"/>
      </w:pPr>
      <w:r>
        <w:t>Automated response drafting</w:t>
      </w:r>
    </w:p>
    <w:p>
      <w:pPr>
        <w:pStyle w:val="ListBullet"/>
      </w:pPr>
      <w:r>
        <w:t>Store page optimisation suggestions</w:t>
      </w:r>
    </w:p>
    <w:p>
      <w:pPr>
        <w:pStyle w:val="Heading2"/>
      </w:pPr>
      <w:r>
        <w:t>7.4 Foresight (Forecast Simulator)</w:t>
      </w:r>
    </w:p>
    <w:p>
      <w:r>
        <w:t>Predict engagement and revenue proxy with explainable drivers and interactive scenario modelling across seven distinct scenario types. Foresight gives Execs, Product, Live-ops, and Marketing a fast "what if?" simulator that produces 90-day default forecasts (plus 30, 180, 360-day, 3-year, and 5-year options) for DAU and revenue proxies, with explainable drivers, confidence scoring, and one-click exports.</w:t>
      </w:r>
    </w:p>
    <w:tbl>
      <w:tblPr>
        <w:tblStyle w:val="LightGrid-Accent1"/>
        <w:tblW w:type="auto" w:w="0"/>
        <w:jc w:val="left"/>
        <w:tblLook w:firstColumn="1" w:firstRow="1" w:lastColumn="0" w:lastRow="0" w:noHBand="0" w:noVBand="1" w:val="04A0"/>
      </w:tblPr>
      <w:tblGrid>
        <w:gridCol w:w="4320"/>
        <w:gridCol w:w="4320"/>
      </w:tblGrid>
      <w:tr>
        <w:tc>
          <w:tcPr>
            <w:tcW w:type="dxa" w:w="2268"/>
          </w:tcPr>
          <w:p>
            <w:r>
              <w:rPr>
                <w:b/>
                <w:sz w:val="20"/>
              </w:rPr>
              <w:t>Item</w:t>
            </w:r>
          </w:p>
        </w:tc>
        <w:tc>
          <w:tcPr>
            <w:tcW w:type="dxa" w:w="7937"/>
          </w:tcPr>
          <w:p>
            <w:r>
              <w:rPr>
                <w:b/>
                <w:sz w:val="20"/>
              </w:rPr>
              <w:t>Detail</w:t>
            </w:r>
          </w:p>
        </w:tc>
      </w:tr>
      <w:tr>
        <w:tc>
          <w:tcPr>
            <w:tcW w:type="dxa" w:w="2268"/>
          </w:tcPr>
          <w:p>
            <w:r>
              <w:rPr>
                <w:sz w:val="20"/>
              </w:rPr>
              <w:t>Purpose</w:t>
            </w:r>
          </w:p>
        </w:tc>
        <w:tc>
          <w:tcPr>
            <w:tcW w:type="dxa" w:w="7937"/>
          </w:tcPr>
          <w:p>
            <w:r>
              <w:rPr>
                <w:sz w:val="20"/>
              </w:rPr>
              <w:t>Predict engagement and revenue proxy with explainable drivers and interactive scenario modelling across seven scenario types.</w:t>
            </w:r>
          </w:p>
        </w:tc>
      </w:tr>
      <w:tr>
        <w:tc>
          <w:tcPr>
            <w:tcW w:type="dxa" w:w="2268"/>
          </w:tcPr>
          <w:p>
            <w:r>
              <w:rPr>
                <w:sz w:val="20"/>
              </w:rPr>
              <w:t>Short description</w:t>
            </w:r>
          </w:p>
        </w:tc>
        <w:tc>
          <w:tcPr>
            <w:tcW w:type="dxa" w:w="7937"/>
          </w:tcPr>
          <w:p>
            <w:r>
              <w:rPr>
                <w:sz w:val="20"/>
              </w:rPr>
              <w:t>Rolling forecasts with backtest ribbon and error bands. Driver cards that list the signals most associated with the next 30 days. Seven scenario types (Live Game, Box + DLC, Box, DLC, Expansion, Mobile Game Live, CRM/Marketing Campaign) with per-type control panels where users can adjust generated baseline values. Versioned forecast sandbox that saves scenarios, compares outcomes, and exports a decision summary. Horizons beyond 90 days gated behind an Admin toggle and display a prominent Experimental badge with widening confidence intervals.</w:t>
            </w:r>
          </w:p>
        </w:tc>
      </w:tr>
      <w:tr>
        <w:tc>
          <w:tcPr>
            <w:tcW w:type="dxa" w:w="2268"/>
          </w:tcPr>
          <w:p>
            <w:r>
              <w:rPr>
                <w:sz w:val="20"/>
              </w:rPr>
              <w:t>Estimated savings/value</w:t>
            </w:r>
          </w:p>
        </w:tc>
        <w:tc>
          <w:tcPr>
            <w:tcW w:type="dxa" w:w="7937"/>
          </w:tcPr>
          <w:p>
            <w:r>
              <w:rPr>
                <w:sz w:val="20"/>
              </w:rPr>
              <w:t>Transforms forecasting from spreadsheet guesswork into model-backed scenario planning. Estimated savings: 3 to 5 analyst hours per week on manual forecast assembly and scenario modelling. The primary value, however, is decision quality: pricing tests and cadence changes are quantified before commitment, reducing the cost of poor decisions. Industry benchmarks (McKinsey, "The State of AI" report, July 2024) indicate analytics-driven optimisation improves campaign and pricing ROI by 15 to 30 percent. For a title generating $5M annual revenue, a 5 percent improvement from better-informed decisions is $250,000 per year.</w:t>
            </w:r>
          </w:p>
        </w:tc>
      </w:tr>
    </w:tbl>
    <w:p/>
    <w:p>
      <w:pPr>
        <w:pStyle w:val="Heading3"/>
      </w:pPr>
      <w:r>
        <w:t>In scope (v1)</w:t>
      </w:r>
    </w:p>
    <w:p>
      <w:pPr>
        <w:pStyle w:val="ListBullet"/>
      </w:pPr>
      <w:r>
        <w:t>Forecast KPIs per title, platform, and region: DAU, MAU, CCU, Revenue proxy, ARPDAU proxy, ARPU, ARPPU, LTV, Retention (cohort-based D1, D3, D7, D14, D30, D90, D180), Acquisition (NUU), Installs, Conversion, Sessions, Average playtime (per week, month, year), MTX revenue (gross and recognised, by monetisation type), and Platform itemisation.</w:t>
      </w:r>
    </w:p>
    <w:p>
      <w:pPr>
        <w:pStyle w:val="ListBullet"/>
      </w:pPr>
      <w:r>
        <w:t>Box game forecasts: sell-in and sell-through by region and sub-region, MAU, DLC sub-forecasts (DLC sell-in, sell-through, MAU), gross revenue, net revenue (gross minus platform and publisher fees), and EBITDA (net minus opex: UA/marketing, servers, support).</w:t>
      </w:r>
    </w:p>
    <w:p>
      <w:pPr>
        <w:pStyle w:val="ListBullet"/>
      </w:pPr>
      <w:r>
        <w:t>Marketing/CRM campaign forecasts: ROAS, views, click-in, click-through, first play of qualified user, users per million views.</w:t>
      </w:r>
    </w:p>
    <w:p>
      <w:pPr>
        <w:pStyle w:val="ListBullet"/>
      </w:pPr>
      <w:r>
        <w:t>Baseline from public signals and any uploaded CSV (if uploaded data is present, it overrides proxies).</w:t>
      </w:r>
    </w:p>
    <w:p>
      <w:pPr>
        <w:pStyle w:val="ListBullet"/>
      </w:pPr>
      <w:r>
        <w:t>Scenarios for: The Game (Live), The Game (Box + DLC), The Game (Box), DLC, Expansion, Mobile Game (Live), CRM/Marketing Campaign.</w:t>
      </w:r>
    </w:p>
    <w:p>
      <w:pPr>
        <w:pStyle w:val="ListBullet"/>
      </w:pPr>
      <w:r>
        <w:t>Side signals that influence forecasts: release/collision, update cadence and content type, sentiment, pricing/IAP changes.</w:t>
      </w:r>
    </w:p>
    <w:p>
      <w:pPr>
        <w:pStyle w:val="ListBullet"/>
      </w:pPr>
      <w:r>
        <w:t>Save/share scenarios; compare up to 3 scenarios side-by-side; export CSV/XLSX/PDF/PNG/PPT.</w:t>
      </w:r>
    </w:p>
    <w:p>
      <w:pPr>
        <w:pStyle w:val="Heading3"/>
      </w:pPr>
      <w:r>
        <w:t>Out of scope (v1)</w:t>
      </w:r>
    </w:p>
    <w:p>
      <w:pPr>
        <w:pStyle w:val="ListBullet"/>
      </w:pPr>
      <w:r>
        <w:t>Public API endpoints (none in v1).</w:t>
      </w:r>
    </w:p>
    <w:p>
      <w:pPr>
        <w:pStyle w:val="ListBullet"/>
      </w:pPr>
      <w:r>
        <w:t>Store-page optimisation or bug triage (explicitly out).</w:t>
      </w:r>
    </w:p>
    <w:p>
      <w:pPr>
        <w:pStyle w:val="Heading3"/>
      </w:pPr>
      <w:r>
        <w:t>Scenario types and user questions</w:t>
      </w:r>
    </w:p>
    <w:p>
      <w:pPr>
        <w:pStyle w:val="ListBullet"/>
      </w:pPr>
      <w:r>
        <w:t>Shared controls (asked for every forecast):</w:t>
      </w:r>
    </w:p>
    <w:p>
      <w:r>
        <w:t>Title, platform(s), region(s). Horizon (30, 90, 180, 360 days, 3 years, 5 years; default 90 days). Baseline source (public proxy vs uploaded). Seasonality basis (last 13, 26, or 52 weeks; default 26). Competitor collision (peer set on/off; default on with genre median plus saved peers). Sentiment coupling (off, weak, normal, strong; default normal). Confidence band width (conservative, standard, aggressive; default standard).</w:t>
      </w:r>
    </w:p>
    <w:p>
      <w:r>
        <w:rPr>
          <w:b/>
        </w:rPr>
        <w:t>The Game (Live):</w:t>
      </w:r>
    </w:p>
    <w:p>
      <w:r>
        <w:t>Business model toggles (battle pass, gacha, cosmetics, subscription). Update cadence (updates per 30 days) plus content mix (feature/balance/economy percentages). Event calendar (dates, duration, LTM vs recurring, target participation percentage). Pricing/discount windows (depth percentage, duration, regions). IAP changes (add/remove SKUs, price deltas, expected attach rate). Conversion assumptions (non-payer to payer percentage, payer purchase frequency). Featuring/UA uplift (none/minor/major; optional installs proxy uplift). Reactivation levers (CRM on/off; uplift percentage for lapsed users). Playtime and session priors.</w:t>
      </w:r>
    </w:p>
    <w:p>
      <w:r>
        <w:rPr>
          <w:b/>
        </w:rPr>
        <w:t>The Game (Box Sales + DLC):</w:t>
      </w:r>
    </w:p>
    <w:p>
      <w:r>
        <w:t>Launch date and list price per platform/region. Discount calendar (dates, percentage off, floor price). Launch curve shape (front-loaded, standard, long tail). DLC plan (count, timing, price, attach-rate targets). Halo/cannibalization rules (DLC to base interactions). Staggered platform/region dates. Finance inputs: platform fee percentage, publisher share, refunds percentage, tax percentage, UA/marketing spend, server and support costs.</w:t>
      </w:r>
    </w:p>
    <w:p>
      <w:r>
        <w:rPr>
          <w:b/>
        </w:rPr>
        <w:t>The Game (Box Sales):</w:t>
      </w:r>
    </w:p>
    <w:p>
      <w:r>
        <w:t>Launch/analysis date and price. Discount calendar. Curve shape. Wishlist/preorder signal (counts, if available). Critic window effect (on/off, threshold).</w:t>
      </w:r>
    </w:p>
    <w:p>
      <w:r>
        <w:rPr>
          <w:b/>
        </w:rPr>
        <w:t>DLC (single pack):</w:t>
      </w:r>
    </w:p>
    <w:p>
      <w:r>
        <w:t>Installed base (proxy or uploaded). Release date, price, discount plan. Attach-rate by platform/region. DAU uplift profile (peak percentage, decay half-life). Cannibalization to future DLC/events (on/off, percentage). Content size (S/M/L) mapped to uplift prior.</w:t>
      </w:r>
    </w:p>
    <w:p>
      <w:r>
        <w:rPr>
          <w:b/>
        </w:rPr>
        <w:t>Expansion (major pack):</w:t>
      </w:r>
    </w:p>
    <w:p>
      <w:r>
        <w:t>Release date, editions, price. Reactivation share (percentage, decay schedule). Attach-rate (baseline vs optimistic). DAU/MAU uplift (peak, plateau weeks, decay). IAP/ARPDAU impact (multiplier or absolute lift). Post-launch mini-events count.</w:t>
      </w:r>
    </w:p>
    <w:p>
      <w:r>
        <w:rPr>
          <w:b/>
        </w:rPr>
        <w:t>Mobile Game (Live):</w:t>
      </w:r>
    </w:p>
    <w:p>
      <w:r>
        <w:t>Featuring (none/minor/major, duration). UA budget and CPI proxy by region. Battle pass season length and completion rate. Event cadence (LTMs per month) and monetisation focus (cosmetic vs pay progression). Regional price tiering (default vs custom). Rating/review velocity assumptions post-update.</w:t>
      </w:r>
    </w:p>
    <w:p>
      <w:r>
        <w:rPr>
          <w:b/>
        </w:rPr>
        <w:t>CRM/Marketing Campaign:</w:t>
      </w:r>
    </w:p>
    <w:p>
      <w:r>
        <w:t>Channels (email, push, in-game, social) and send volume. Target segment and holdout percentage. Incentive (none, discount, bundle). Cadence (one-shot vs drip) and send dates. Expected open/click/reactivation or purchase rates. Uplift shape (spike vs ramp, decay). "Users per million views" target or auto-calculated.</w:t>
      </w:r>
    </w:p>
    <w:p>
      <w:pPr>
        <w:pStyle w:val="Heading3"/>
      </w:pPr>
      <w:r>
        <w:t>How inputs map to the model</w:t>
      </w:r>
    </w:p>
    <w:p>
      <w:pPr>
        <w:pStyle w:val="ListBullet"/>
      </w:pPr>
      <w:r>
        <w:t>Event/Content: additive lift to DAU with log-normal spike plus exponential decay; content size sets priors for peak percentage and half-life.</w:t>
      </w:r>
    </w:p>
    <w:p>
      <w:pPr>
        <w:pStyle w:val="ListBullet"/>
      </w:pPr>
      <w:r>
        <w:t>Cadence: cadence_per_30d slope prior; interacts with sentiment and rank momentum via a cadence_effectiveness coefficient.</w:t>
      </w:r>
    </w:p>
    <w:p>
      <w:pPr>
        <w:pStyle w:val="ListBullet"/>
      </w:pPr>
      <w:r>
        <w:t>Pricing/Discount: ARPDAU multiplier; for box sales, price elasticity (Box epsilon -1.4, DLC epsilon -1.8; default priors based on academic price elasticity literature for digital goods, to be calibrated per-title; override capability provided) applied to unit curve; floor pricing enforced. Uplift cap +300 percent.</w:t>
      </w:r>
    </w:p>
    <w:p>
      <w:pPr>
        <w:pStyle w:val="ListBullet"/>
      </w:pPr>
      <w:r>
        <w:t>IAP changes: ARPDAU mix shift using SKU price and attach priors; optional affordability score modifier by region.</w:t>
      </w:r>
    </w:p>
    <w:p>
      <w:pPr>
        <w:pStyle w:val="ListBullet"/>
      </w:pPr>
      <w:r>
        <w:t>Featuring/UA: installs proxy; installs to DAU via conversion prior and retention cascade.</w:t>
      </w:r>
    </w:p>
    <w:p>
      <w:pPr>
        <w:pStyle w:val="ListBullet"/>
      </w:pPr>
      <w:r>
        <w:t>DLC/Expansion attach: percentage of active plus reactivated base; expansion includes reactivation cohort with separate decay.</w:t>
      </w:r>
    </w:p>
    <w:p>
      <w:pPr>
        <w:pStyle w:val="ListBullet"/>
      </w:pPr>
      <w:r>
        <w:t>CRM: reactivation spike percentage of lapsed MAU with short half-life; optional ARPDAU bump if incentive.</w:t>
      </w:r>
    </w:p>
    <w:p>
      <w:pPr>
        <w:pStyle w:val="ListBullet"/>
      </w:pPr>
      <w:r>
        <w:t>Sentiment coupling: coefficient on sentiment_index delta affecting DAU and conversion priors.</w:t>
      </w:r>
    </w:p>
    <w:p>
      <w:pPr>
        <w:pStyle w:val="ListBullet"/>
      </w:pPr>
      <w:r>
        <w:t>Collision: negative multiplier on launch window weeks based on impact_score.</w:t>
      </w:r>
    </w:p>
    <w:p>
      <w:pPr>
        <w:pStyle w:val="Heading3"/>
      </w:pPr>
      <w:r>
        <w:t>Scenario interaction model</w:t>
      </w:r>
    </w:p>
    <w:p>
      <w:r>
        <w:t>When multiple scenario levers are toggled simultaneously (for example, price increase and new event), effects are applied sequentially with an interaction term. Each lever’s effect is computed independently, then an interaction coefficient adjusts the combined outcome to account for cross-lever dependencies (for example, a price increase during a content event may have a different effect than either lever alone). The interaction model is trained on historical multi-lever outcomes where available, with conservative default interaction terms (dampening) where data is sparse. The methodology is shown in the scenario detail panel.</w:t>
      </w:r>
    </w:p>
    <w:p>
      <w:pPr>
        <w:pStyle w:val="Heading3"/>
      </w:pPr>
      <w:r>
        <w:t>Modelling approach</w:t>
      </w:r>
    </w:p>
    <w:p>
      <w:pPr>
        <w:pStyle w:val="ListBullet"/>
      </w:pPr>
      <w:r>
        <w:t>Baseline: hybrid time-series (ETS/TBATS) with weekly seasonality; hierarchical reconciliation across title, platform, and region.</w:t>
      </w:r>
    </w:p>
    <w:p>
      <w:pPr>
        <w:pStyle w:val="ListBullet"/>
      </w:pPr>
      <w:r>
        <w:t>Exogenous regressors (X): releases, cadence, pricing, sentiment, collision.</w:t>
      </w:r>
    </w:p>
    <w:p>
      <w:pPr>
        <w:pStyle w:val="ListBullet"/>
      </w:pPr>
      <w:r>
        <w:t>Scenarios: apply deterministic overlays on the baseline plus X, then re-run short-horizon correction.</w:t>
      </w:r>
    </w:p>
    <w:p>
      <w:pPr>
        <w:pStyle w:val="ListBullet"/>
      </w:pPr>
      <w:r>
        <w:t>Backtesting: rolling window equal to chosen horizon, with MAPE percentage and MAE visible, RMSE in tooltip.</w:t>
      </w:r>
    </w:p>
    <w:p>
      <w:pPr>
        <w:pStyle w:val="ListBullet"/>
      </w:pPr>
      <w:r>
        <w:t>Guardrails: "on target" MAPE thresholds: 30 days 15 percent or less, 90 days 25 percent or less, 180 days 35 percent or less, 360 days 45 percent or less.</w:t>
      </w:r>
    </w:p>
    <w:p>
      <w:pPr>
        <w:pStyle w:val="ListBullet"/>
      </w:pPr>
      <w:r>
        <w:t>Confidence: convert ensemble agreement plus data quality into percentage confidence (Green 80 or above, Yellow 60 to 79, Red below 60), show icon plus percentage.</w:t>
      </w:r>
    </w:p>
    <w:p>
      <w:pPr>
        <w:pStyle w:val="ListBullet"/>
      </w:pPr>
      <w:r>
        <w:t>Revenue recognition (Live): by item class. Battle pass straight-line over season; subscriptions monthly; cosmetics and consumables immediate. User can override via control panel.</w:t>
      </w:r>
    </w:p>
    <w:p>
      <w:pPr>
        <w:pStyle w:val="ListBullet"/>
      </w:pPr>
      <w:r>
        <w:t>Financials (Box + DLC): Gross equals price times units (plus DLC). Net equals Gross minus (platform fee percentage plus publisher share percentage plus refunds percentage plus tax percentage). EBITDA equals Net minus (UA/marketing plus servers plus support).</w:t>
      </w:r>
    </w:p>
    <w:p>
      <w:pPr>
        <w:pStyle w:val="Heading3"/>
      </w:pPr>
      <w:r>
        <w:t>UX flow (v1)</w:t>
      </w:r>
    </w:p>
    <w:p>
      <w:pPr>
        <w:pStyle w:val="ListNumber"/>
      </w:pPr>
      <w:r>
        <w:t>Baseline tab: KPI picker (DAU/Revenue/ARPDAU/CCU and full list), horizon (default 90 days), regions/platforms. Drivers panel showing active regressors (release, sentiment, cadence). Badges: Estimated, Confidence, Backtest MAPE/MAE.</w:t>
      </w:r>
    </w:p>
    <w:p>
      <w:pPr>
        <w:pStyle w:val="ListNumber"/>
      </w:pPr>
      <w:r>
        <w:t>Scenario Builder: left panel with Scenario Type selector (seven types). Centre panel with parameter controls (the questions listed above). Right panel with live chart showing low/high band, deltas vs baseline, and reason chips (for example, "Event +2.8%, Discount +0.6%"). Save scenario, Compare scenarios A/B, Apply to dashboard.</w:t>
      </w:r>
    </w:p>
    <w:p>
      <w:pPr>
        <w:pStyle w:val="ListNumber"/>
      </w:pPr>
      <w:r>
        <w:t>Compare: overlay up to 3 scenarios; show delta tables (peak DAU, avg DAU, revenue proxy, payback, units, ARPU/ARPPU, Net, EBITDA).</w:t>
      </w:r>
    </w:p>
    <w:p>
      <w:pPr>
        <w:pStyle w:val="ListNumber"/>
      </w:pPr>
      <w:r>
        <w:t>Explain: "Why this forecast?" panel with top 3 contributors, backtest metrics, and data provenance (source plus transform summary plus last refresh).</w:t>
      </w:r>
    </w:p>
    <w:p>
      <w:pPr>
        <w:pStyle w:val="ListNumber"/>
      </w:pPr>
      <w:r>
        <w:t>Export: CSV/XLSX (point plus bands), PDF/PNG chart, PPT one-pager. All exports include "Created with Playsage" subline.</w:t>
      </w:r>
    </w:p>
    <w:p>
      <w:pPr>
        <w:pStyle w:val="ListNumber"/>
      </w:pPr>
      <w:r>
        <w:t>Alerts hook: from any scenario, create alert on breach vs baseline (single-condition by default).</w:t>
      </w:r>
    </w:p>
    <w:p>
      <w:pPr>
        <w:pStyle w:val="Heading3"/>
      </w:pPr>
      <w:r>
        <w:t>Outputs</w:t>
      </w:r>
    </w:p>
    <w:p>
      <w:pPr>
        <w:pStyle w:val="ListBullet"/>
      </w:pPr>
      <w:r>
        <w:t>Time-series chart with low/high bands, baseline vs scenario deltas.</w:t>
      </w:r>
    </w:p>
    <w:p>
      <w:pPr>
        <w:pStyle w:val="ListBullet"/>
      </w:pPr>
      <w:r>
        <w:t>Driver chips (for example, "Event +3.1%, Discount +0.7%, Collision -0.9%").</w:t>
      </w:r>
    </w:p>
    <w:p>
      <w:pPr>
        <w:pStyle w:val="ListBullet"/>
      </w:pPr>
      <w:r>
        <w:t>Metrics table (peak DAU, avg DAU, units, ARPU/ARPPU, revenue, Net, EBITDA).</w:t>
      </w:r>
    </w:p>
    <w:p>
      <w:pPr>
        <w:pStyle w:val="ListBullet"/>
      </w:pPr>
      <w:r>
        <w:t>Cohort panel (retention curve D1 to D180).</w:t>
      </w:r>
    </w:p>
    <w:p>
      <w:pPr>
        <w:pStyle w:val="ListBullet"/>
      </w:pPr>
      <w:r>
        <w:t>Campaign ladder (views to click-in to click-through to install to first play; ROAS).</w:t>
      </w:r>
    </w:p>
    <w:p>
      <w:pPr>
        <w:pStyle w:val="ListBullet"/>
      </w:pPr>
      <w:r>
        <w:t>Explain panel: top 3 contributors, backtests, provenance.</w:t>
      </w:r>
    </w:p>
    <w:p>
      <w:pPr>
        <w:pStyle w:val="Heading3"/>
      </w:pPr>
      <w:r>
        <w:t>Implementation plan</w:t>
      </w:r>
    </w:p>
    <w:p>
      <w:pPr>
        <w:pStyle w:val="ListNumber"/>
      </w:pPr>
      <w:r>
        <w:t>Phase 1, Baseline and Data (backend): ingest plus tile kpi_daily; fit baseline models; write to forecast_daily, forecast_backtest. Prepare driver features.</w:t>
      </w:r>
    </w:p>
    <w:p>
      <w:pPr>
        <w:pStyle w:val="ListNumber"/>
      </w:pPr>
      <w:r>
        <w:t>Phase 2, Scenario Engine: deterministic overlays for each lever (event, pricing, IAP, CRM, attach-rate). Combine overlays with baseline; produce bands and deltas. Implement diminishing-returns combiner.</w:t>
      </w:r>
    </w:p>
    <w:p>
      <w:pPr>
        <w:pStyle w:val="ListNumber"/>
      </w:pPr>
      <w:r>
        <w:t>Phase 3, UI: Baseline tab to Scenario Builder to Compare to Explain to Export. Reusable control panels for each scenario type.</w:t>
      </w:r>
    </w:p>
    <w:p>
      <w:pPr>
        <w:pStyle w:val="ListNumber"/>
      </w:pPr>
      <w:r>
        <w:t>Phase 4, Save/Share and Alerts: scenario_saves CRUD, personal vs org scope. Alert from scenario deltas.</w:t>
      </w:r>
    </w:p>
    <w:p>
      <w:pPr>
        <w:pStyle w:val="ListNumber"/>
      </w:pPr>
      <w:r>
        <w:t>Phase 5, QA and Performance: accuracy checks against seeded sets with MAPE/MAE thresholds. Latency tests (2 seconds or less). Export quality checks.</w:t>
      </w:r>
    </w:p>
    <w:p>
      <w:pPr>
        <w:pStyle w:val="Heading3"/>
      </w:pPr>
      <w:r>
        <w:t>Performance SLO</w:t>
      </w:r>
    </w:p>
    <w:p>
      <w:r>
        <w:t>Filter/knob response 2 seconds or less on demo dataset (3-second ceiling). Scenario save 500ms or less. Export 120 seconds or less. Chart initial render 2 seconds or less on local demo.</w:t>
      </w:r>
    </w:p>
    <w:p>
      <w:pPr>
        <w:pStyle w:val="Heading3"/>
      </w:pPr>
      <w:r>
        <w:t>Acceptance criteria</w:t>
      </w:r>
    </w:p>
    <w:p>
      <w:pPr>
        <w:pStyle w:val="ListNumber"/>
      </w:pPr>
      <w:r>
        <w:t>Create, edit, save, and share scenarios across all 7 scenario types.</w:t>
      </w:r>
    </w:p>
    <w:p>
      <w:pPr>
        <w:pStyle w:val="ListNumber"/>
      </w:pPr>
      <w:r>
        <w:t>Default 90-day forecast with confidence and backtest present.</w:t>
      </w:r>
    </w:p>
    <w:p>
      <w:pPr>
        <w:pStyle w:val="ListNumber"/>
      </w:pPr>
      <w:r>
        <w:t>Explain shows top 3 contributors and provenance (source, transform, freshness).</w:t>
      </w:r>
    </w:p>
    <w:p>
      <w:pPr>
        <w:pStyle w:val="ListNumber"/>
      </w:pPr>
      <w:r>
        <w:t>Compare up to 3 scenarios with delta tables.</w:t>
      </w:r>
    </w:p>
    <w:p>
      <w:pPr>
        <w:pStyle w:val="ListNumber"/>
      </w:pPr>
      <w:r>
        <w:t>All three forecast families (Live, Box/DLC, Marketing/CRM) produce forecasts with editable baselines, confidence, and backtests shown.</w:t>
      </w:r>
    </w:p>
    <w:p>
      <w:pPr>
        <w:pStyle w:val="ListNumber"/>
      </w:pPr>
      <w:r>
        <w:t>CSV/XLSX/PDF/PNG/PPT exports work and include "Created with Playsage" subline.</w:t>
      </w:r>
    </w:p>
    <w:p>
      <w:pPr>
        <w:pStyle w:val="ListNumber"/>
      </w:pPr>
      <w:r>
        <w:t>Works offline with forced-cache toggle; Sage explanations can be pre-seeded text.</w:t>
      </w:r>
    </w:p>
    <w:p>
      <w:pPr>
        <w:pStyle w:val="Heading3"/>
      </w:pPr>
      <w:r>
        <w:t>Non-goals and constraints</w:t>
      </w:r>
    </w:p>
    <w:p>
      <w:pPr>
        <w:pStyle w:val="ListBullet"/>
      </w:pPr>
      <w:r>
        <w:t>Automated experiment design</w:t>
      </w:r>
    </w:p>
    <w:p>
      <w:pPr>
        <w:pStyle w:val="ListBullet"/>
      </w:pPr>
      <w:r>
        <w:t>Real-time model retraining from live data</w:t>
      </w:r>
    </w:p>
    <w:p>
      <w:pPr>
        <w:pStyle w:val="ListBullet"/>
      </w:pPr>
      <w:r>
        <w:t>Write-back to execution systems</w:t>
      </w:r>
    </w:p>
    <w:p>
      <w:pPr>
        <w:pStyle w:val="ListBullet"/>
      </w:pPr>
      <w:r>
        <w:t>Store-page optimisation or bug triage</w:t>
      </w:r>
    </w:p>
    <w:p>
      <w:pPr>
        <w:pStyle w:val="ListBullet"/>
      </w:pPr>
      <w:r>
        <w:t>Public API for Foresight in v1</w:t>
      </w:r>
    </w:p>
    <w:p>
      <w:pPr>
        <w:pStyle w:val="Heading2"/>
      </w:pPr>
      <w:r>
        <w:t>7.5 Market Watch: Release Radar and Collision Risk</w:t>
      </w:r>
    </w:p>
    <w:p>
      <w:r>
        <w:t>Calendar of releases, updates, DLC, and content beats with crowding risk scoring and advisory windows.</w:t>
      </w:r>
    </w:p>
    <w:tbl>
      <w:tblPr>
        <w:tblStyle w:val="LightGrid-Accent1"/>
        <w:tblW w:type="auto" w:w="0"/>
        <w:jc w:val="left"/>
        <w:tblLook w:firstColumn="1" w:firstRow="1" w:lastColumn="0" w:lastRow="0" w:noHBand="0" w:noVBand="1" w:val="04A0"/>
      </w:tblPr>
      <w:tblGrid>
        <w:gridCol w:w="4320"/>
        <w:gridCol w:w="4320"/>
      </w:tblGrid>
      <w:tr>
        <w:tc>
          <w:tcPr>
            <w:tcW w:type="dxa" w:w="2268"/>
          </w:tcPr>
          <w:p>
            <w:r>
              <w:rPr>
                <w:b/>
                <w:sz w:val="20"/>
              </w:rPr>
              <w:t>Item</w:t>
            </w:r>
          </w:p>
        </w:tc>
        <w:tc>
          <w:tcPr>
            <w:tcW w:type="dxa" w:w="7937"/>
          </w:tcPr>
          <w:p>
            <w:r>
              <w:rPr>
                <w:b/>
                <w:sz w:val="20"/>
              </w:rPr>
              <w:t>Detail</w:t>
            </w:r>
          </w:p>
        </w:tc>
      </w:tr>
      <w:tr>
        <w:tc>
          <w:tcPr>
            <w:tcW w:type="dxa" w:w="2268"/>
          </w:tcPr>
          <w:p>
            <w:r>
              <w:rPr>
                <w:sz w:val="20"/>
              </w:rPr>
              <w:t>Purpose</w:t>
            </w:r>
          </w:p>
        </w:tc>
        <w:tc>
          <w:tcPr>
            <w:tcW w:type="dxa" w:w="7937"/>
          </w:tcPr>
          <w:p>
            <w:r>
              <w:rPr>
                <w:sz w:val="20"/>
              </w:rPr>
              <w:t>Calendar of releases, updates, DLC, and content beats with crowding risk scoring and advisory windows.</w:t>
            </w:r>
          </w:p>
        </w:tc>
      </w:tr>
      <w:tr>
        <w:tc>
          <w:tcPr>
            <w:tcW w:type="dxa" w:w="2268"/>
          </w:tcPr>
          <w:p>
            <w:r>
              <w:rPr>
                <w:sz w:val="20"/>
              </w:rPr>
              <w:t>Short description</w:t>
            </w:r>
          </w:p>
        </w:tc>
        <w:tc>
          <w:tcPr>
            <w:tcW w:type="dxa" w:w="7937"/>
          </w:tcPr>
          <w:p>
            <w:r>
              <w:rPr>
                <w:sz w:val="20"/>
              </w:rPr>
              <w:t>Release calendar with projected impact tags by genre and region (impact tags based on publisher tier where top 50 publishers equal high impact, genre saturation, and historical week-one performance of comparable titles; methodology shown in provenance). History (past 6 months) and projections (next 3 months). Collision alert if launches cluster in the user’s genre. Watchlists with reminders for tracked franchises and studios. Advisory windows that suggest safer launch ranges based on crowding and seasonal effects, with a confidence score based on historical calibration.</w:t>
            </w:r>
          </w:p>
        </w:tc>
      </w:tr>
      <w:tr>
        <w:tc>
          <w:tcPr>
            <w:tcW w:type="dxa" w:w="2268"/>
          </w:tcPr>
          <w:p>
            <w:r>
              <w:rPr>
                <w:sz w:val="20"/>
              </w:rPr>
              <w:t>Estimated savings/value</w:t>
            </w:r>
          </w:p>
        </w:tc>
        <w:tc>
          <w:tcPr>
            <w:tcW w:type="dxa" w:w="7937"/>
          </w:tcPr>
          <w:p>
            <w:r>
              <w:rPr>
                <w:sz w:val="20"/>
              </w:rPr>
              <w:t>Reduces launch timing risk. Estimated savings: 2 to 3 analyst hours per week on manual release calendar maintenance and competitive monitoring. The higher-order value is in avoided losses: poor timing against clustered competitor releases can reduce week-one visibility and downloads by 10 to 20 percent. For a title targeting $1M launch month revenue, a 10 percent improvement from better timing is $100,000 in the launch window alone.</w:t>
            </w:r>
          </w:p>
        </w:tc>
      </w:tr>
    </w:tbl>
    <w:p/>
    <w:p>
      <w:pPr>
        <w:pStyle w:val="Heading3"/>
      </w:pPr>
      <w:r>
        <w:t>Primary value use cases</w:t>
      </w:r>
    </w:p>
    <w:p>
      <w:pPr>
        <w:pStyle w:val="ListBullet"/>
      </w:pPr>
      <w:r>
        <w:t>Choose safer launch windows by visualising genre crowding.</w:t>
      </w:r>
    </w:p>
    <w:p>
      <w:pPr>
        <w:pStyle w:val="ListBullet"/>
      </w:pPr>
      <w:r>
        <w:t>Plan promotions around periods of high competitive activity.</w:t>
      </w:r>
    </w:p>
    <w:p>
      <w:pPr>
        <w:pStyle w:val="ListBullet"/>
      </w:pPr>
      <w:r>
        <w:t>Track franchise and studio release patterns for portfolio planning.</w:t>
      </w:r>
    </w:p>
    <w:p>
      <w:pPr>
        <w:pStyle w:val="ListBullet"/>
      </w:pPr>
      <w:r>
        <w:t>Receive collision alerts when launches cluster in tracked genres.</w:t>
      </w:r>
    </w:p>
    <w:p>
      <w:pPr>
        <w:pStyle w:val="Heading3"/>
      </w:pPr>
      <w:r>
        <w:t>Design specification</w:t>
      </w:r>
    </w:p>
    <w:p>
      <w:r>
        <w:rPr>
          <w:b/>
        </w:rPr>
        <w:t xml:space="preserve">Filters: </w:t>
      </w:r>
      <w:r>
        <w:t>Platform, region, genre, time window</w:t>
      </w:r>
    </w:p>
    <w:p>
      <w:r>
        <w:rPr>
          <w:b/>
        </w:rPr>
        <w:t xml:space="preserve">KPIs displayed: </w:t>
      </w:r>
      <w:r>
        <w:t>Collision risk score, count of competing beats, time to next safe window</w:t>
      </w:r>
    </w:p>
    <w:p>
      <w:r>
        <w:rPr>
          <w:b/>
        </w:rPr>
        <w:t xml:space="preserve">Views: </w:t>
      </w:r>
      <w:r>
        <w:t>Calendar view with evidence list; Crowding heat map</w:t>
      </w:r>
    </w:p>
    <w:p>
      <w:r>
        <w:rPr>
          <w:b/>
        </w:rPr>
        <w:t xml:space="preserve">Core interactions: </w:t>
      </w:r>
      <w:r>
        <w:t>Select a month to see upcoming releases; hover for projected impact; create alert from collision threshold</w:t>
      </w:r>
    </w:p>
    <w:p>
      <w:r>
        <w:rPr>
          <w:b/>
        </w:rPr>
        <w:t xml:space="preserve">Data ingestion: </w:t>
      </w:r>
      <w:r>
        <w:t>v1: curated manually for seeded catalog plus automated store news feed parsing. Beta: RSS and webhook ingestion from major publisher newsrooms. GA: partnership with press wire services.</w:t>
      </w:r>
    </w:p>
    <w:p>
      <w:r>
        <w:rPr>
          <w:b/>
        </w:rPr>
        <w:t xml:space="preserve">Performance SLO: </w:t>
      </w:r>
      <w:r>
        <w:t>Daily refresh 15 minutes or less; UI 2 seconds or less</w:t>
      </w:r>
    </w:p>
    <w:p>
      <w:pPr>
        <w:pStyle w:val="Heading3"/>
      </w:pPr>
      <w:r>
        <w:t>Technical specification</w:t>
      </w:r>
    </w:p>
    <w:p>
      <w:r>
        <w:rPr>
          <w:b/>
        </w:rPr>
        <w:t xml:space="preserve">Data inputs: </w:t>
      </w:r>
      <w:r>
        <w:t>Publisher newsrooms, store news feeds, press wires, curated lists</w:t>
      </w:r>
    </w:p>
    <w:p>
      <w:r>
        <w:rPr>
          <w:b/>
        </w:rPr>
        <w:t xml:space="preserve">Transforms/jobs: </w:t>
      </w:r>
      <w:r>
        <w:t>Normalise dates; compute weighted crowding with title-size modifiers; seasonal adjustment</w:t>
      </w:r>
    </w:p>
    <w:p>
      <w:r>
        <w:rPr>
          <w:b/>
        </w:rPr>
        <w:t xml:space="preserve">Storage: </w:t>
      </w:r>
      <w:r>
        <w:t>releases, collision_windows</w:t>
      </w:r>
    </w:p>
    <w:p>
      <w:r>
        <w:rPr>
          <w:b/>
        </w:rPr>
        <w:t xml:space="preserve">Algorithms: </w:t>
      </w:r>
      <w:r>
        <w:t>Weighted crowding model with historical calibration</w:t>
      </w:r>
    </w:p>
    <w:p>
      <w:pPr>
        <w:pStyle w:val="Heading3"/>
      </w:pPr>
      <w:r>
        <w:t>Acceptance criteria</w:t>
      </w:r>
    </w:p>
    <w:p>
      <w:pPr>
        <w:pStyle w:val="ListNumber"/>
      </w:pPr>
      <w:r>
        <w:t>Given a user selects a month and genre, When the calendar loads, Then upcoming releases and a collision risk score appear.</w:t>
      </w:r>
    </w:p>
    <w:p>
      <w:pPr>
        <w:pStyle w:val="ListNumber"/>
      </w:pPr>
      <w:r>
        <w:t>Given launches cluster in the user’s tracked genre, Then a collision alert fires.</w:t>
      </w:r>
    </w:p>
    <w:p>
      <w:pPr>
        <w:pStyle w:val="ListNumber"/>
      </w:pPr>
      <w:r>
        <w:t>Given the user hovers on a release, Then projected impact tags and source links appear.</w:t>
      </w:r>
    </w:p>
    <w:p>
      <w:pPr>
        <w:pStyle w:val="ListNumber"/>
      </w:pPr>
      <w:r>
        <w:t>Given a user creates a watchlist for a franchise, Then reminders are sent when releases are detected.</w:t>
      </w:r>
    </w:p>
    <w:p>
      <w:pPr>
        <w:pStyle w:val="Heading3"/>
      </w:pPr>
      <w:r>
        <w:t>Non-goals and constraints</w:t>
      </w:r>
    </w:p>
    <w:p>
      <w:pPr>
        <w:pStyle w:val="ListBullet"/>
      </w:pPr>
      <w:r>
        <w:t>Predictive release detection from hiring/patent signals</w:t>
      </w:r>
    </w:p>
    <w:p>
      <w:pPr>
        <w:pStyle w:val="ListBullet"/>
      </w:pPr>
      <w:r>
        <w:t>Automated launch window optimisation</w:t>
      </w:r>
    </w:p>
    <w:p>
      <w:pPr>
        <w:pStyle w:val="Heading2"/>
      </w:pPr>
      <w:r>
        <w:t>7.6 Alerts and Subscriptions</w:t>
      </w:r>
    </w:p>
    <w:p>
      <w:r>
        <w:t>Catch material KPI and sentiment changes and route them to action.</w:t>
      </w:r>
    </w:p>
    <w:tbl>
      <w:tblPr>
        <w:tblStyle w:val="LightGrid-Accent1"/>
        <w:tblW w:type="auto" w:w="0"/>
        <w:jc w:val="left"/>
        <w:tblLook w:firstColumn="1" w:firstRow="1" w:lastColumn="0" w:lastRow="0" w:noHBand="0" w:noVBand="1" w:val="04A0"/>
      </w:tblPr>
      <w:tblGrid>
        <w:gridCol w:w="4320"/>
        <w:gridCol w:w="4320"/>
      </w:tblGrid>
      <w:tr>
        <w:tc>
          <w:tcPr>
            <w:tcW w:type="dxa" w:w="2268"/>
          </w:tcPr>
          <w:p>
            <w:r>
              <w:rPr>
                <w:b/>
                <w:sz w:val="20"/>
              </w:rPr>
              <w:t>Item</w:t>
            </w:r>
          </w:p>
        </w:tc>
        <w:tc>
          <w:tcPr>
            <w:tcW w:type="dxa" w:w="7937"/>
          </w:tcPr>
          <w:p>
            <w:r>
              <w:rPr>
                <w:b/>
                <w:sz w:val="20"/>
              </w:rPr>
              <w:t>Detail</w:t>
            </w:r>
          </w:p>
        </w:tc>
      </w:tr>
      <w:tr>
        <w:tc>
          <w:tcPr>
            <w:tcW w:type="dxa" w:w="2268"/>
          </w:tcPr>
          <w:p>
            <w:r>
              <w:rPr>
                <w:sz w:val="20"/>
              </w:rPr>
              <w:t>Purpose</w:t>
            </w:r>
          </w:p>
        </w:tc>
        <w:tc>
          <w:tcPr>
            <w:tcW w:type="dxa" w:w="7937"/>
          </w:tcPr>
          <w:p>
            <w:r>
              <w:rPr>
                <w:sz w:val="20"/>
              </w:rPr>
              <w:t>Catch material KPI and sentiment changes and route them to action.</w:t>
            </w:r>
          </w:p>
        </w:tc>
      </w:tr>
      <w:tr>
        <w:tc>
          <w:tcPr>
            <w:tcW w:type="dxa" w:w="2268"/>
          </w:tcPr>
          <w:p>
            <w:r>
              <w:rPr>
                <w:sz w:val="20"/>
              </w:rPr>
              <w:t>Short description</w:t>
            </w:r>
          </w:p>
        </w:tc>
        <w:tc>
          <w:tcPr>
            <w:tcW w:type="dxa" w:w="7937"/>
          </w:tcPr>
          <w:p>
            <w:r>
              <w:rPr>
                <w:sz w:val="20"/>
              </w:rPr>
              <w:t>Create alerts from any chart or KPI: threshold, spike, slope change, or competitor update. Delivery via in-app feed and email preview (Slack, Teams, and webhook visible in roadmap). Default single-condition alerts for noise control with compound alerts optional. Digest rollups and escalation logic configurable. Default limit of 50 personal alerts and 100 org-wide alerts. Enterprise tier: configurable limits.</w:t>
            </w:r>
          </w:p>
        </w:tc>
      </w:tr>
      <w:tr>
        <w:tc>
          <w:tcPr>
            <w:tcW w:type="dxa" w:w="2268"/>
          </w:tcPr>
          <w:p>
            <w:r>
              <w:rPr>
                <w:sz w:val="20"/>
              </w:rPr>
              <w:t>Estimated savings/value</w:t>
            </w:r>
          </w:p>
        </w:tc>
        <w:tc>
          <w:tcPr>
            <w:tcW w:type="dxa" w:w="7937"/>
          </w:tcPr>
          <w:p>
            <w:r>
              <w:rPr>
                <w:sz w:val="20"/>
              </w:rPr>
              <w:t>Shifts monitoring from reactive to proactive. Estimated savings: 5 to 15 analyst hours per week across the team spent on manual dashboard checking and ad-hoc monitoring. The higher-order value is incidents caught early: a negative trend spotted 2 days earlier gives the team 2 extra days to respond with a hotfix, communication, or promotion.</w:t>
            </w:r>
          </w:p>
        </w:tc>
      </w:tr>
    </w:tbl>
    <w:p/>
    <w:p>
      <w:pPr>
        <w:pStyle w:val="Heading3"/>
      </w:pPr>
      <w:r>
        <w:t>Primary value use cases</w:t>
      </w:r>
    </w:p>
    <w:p>
      <w:pPr>
        <w:pStyle w:val="ListBullet"/>
      </w:pPr>
      <w:r>
        <w:t>Guard critical KPIs with automated threshold alerts.</w:t>
      </w:r>
    </w:p>
    <w:p>
      <w:pPr>
        <w:pStyle w:val="ListBullet"/>
      </w:pPr>
      <w:r>
        <w:t>Track competitor spikes or promotion starts.</w:t>
      </w:r>
    </w:p>
    <w:p>
      <w:pPr>
        <w:pStyle w:val="ListBullet"/>
      </w:pPr>
      <w:r>
        <w:t>Reduce monitoring burden with automated alerts instead of manual dashboard checks.</w:t>
      </w:r>
    </w:p>
    <w:p>
      <w:pPr>
        <w:pStyle w:val="ListBullet"/>
      </w:pPr>
      <w:r>
        <w:t>Escalate unresolved alerts via configurable digest and escalation rules.</w:t>
      </w:r>
    </w:p>
    <w:p>
      <w:pPr>
        <w:pStyle w:val="Heading3"/>
      </w:pPr>
      <w:r>
        <w:t>Design specification</w:t>
      </w:r>
    </w:p>
    <w:p>
      <w:r>
        <w:rPr>
          <w:b/>
        </w:rPr>
        <w:t xml:space="preserve">Filters: </w:t>
      </w:r>
      <w:r>
        <w:t>Alert type (threshold, spike, slope, competitor), KPI, title, severity</w:t>
      </w:r>
    </w:p>
    <w:p>
      <w:r>
        <w:rPr>
          <w:b/>
        </w:rPr>
        <w:t xml:space="preserve">Performance SLO: </w:t>
      </w:r>
      <w:r>
        <w:t>Alerts process within 5 minutes of data refresh completion (daily refresh by 09:00 UTC, so alerts fire by 09:05 UTC at latest)</w:t>
      </w:r>
    </w:p>
    <w:p>
      <w:r>
        <w:rPr>
          <w:b/>
        </w:rPr>
        <w:t xml:space="preserve">Core interactions: </w:t>
      </w:r>
      <w:r>
        <w:t>Create alert from any chart in under 30 seconds; demo toggle to manually trigger; dismiss or acknowledge alerts</w:t>
      </w:r>
    </w:p>
    <w:p>
      <w:pPr>
        <w:pStyle w:val="Heading3"/>
      </w:pPr>
      <w:r>
        <w:t>Technical specification</w:t>
      </w:r>
    </w:p>
    <w:p>
      <w:r>
        <w:rPr>
          <w:b/>
        </w:rPr>
        <w:t xml:space="preserve">Data inputs: </w:t>
      </w:r>
      <w:r>
        <w:t>All KPI streams, sentiment signals, release events</w:t>
      </w:r>
    </w:p>
    <w:p>
      <w:r>
        <w:rPr>
          <w:b/>
        </w:rPr>
        <w:t xml:space="preserve">Transforms/jobs: </w:t>
      </w:r>
      <w:r>
        <w:t>Rules engine: threshold, spike detection, slope change, competitor event matching; deduplication</w:t>
      </w:r>
    </w:p>
    <w:p>
      <w:r>
        <w:rPr>
          <w:b/>
        </w:rPr>
        <w:t xml:space="preserve">Storage: </w:t>
      </w:r>
      <w:r>
        <w:t>alert_definitions, alert_events</w:t>
      </w:r>
    </w:p>
    <w:p>
      <w:r>
        <w:rPr>
          <w:b/>
        </w:rPr>
        <w:t xml:space="preserve">Services/endpoints: </w:t>
      </w:r>
      <w:r>
        <w:t>In-app feed, email preview. Slack/Teams/webhook staged for post-demo.</w:t>
      </w:r>
    </w:p>
    <w:p>
      <w:pPr>
        <w:pStyle w:val="Heading3"/>
      </w:pPr>
      <w:r>
        <w:t>Acceptance criteria</w:t>
      </w:r>
    </w:p>
    <w:p>
      <w:pPr>
        <w:pStyle w:val="ListNumber"/>
      </w:pPr>
      <w:r>
        <w:t>Given a user creates a threshold alert on ARPDAU, When ARPDAU drops below the threshold, Then an alert appears in the feed within 5 minutes.</w:t>
      </w:r>
    </w:p>
    <w:p>
      <w:pPr>
        <w:pStyle w:val="ListNumber"/>
      </w:pPr>
      <w:r>
        <w:t>Given a user creates an alert from a chart, When they complete the flow, Then the alert is saved in under 30 seconds.</w:t>
      </w:r>
    </w:p>
    <w:p>
      <w:pPr>
        <w:pStyle w:val="ListNumber"/>
      </w:pPr>
      <w:r>
        <w:t>Given a demo toggle is activated, Then a pre-configured alert fires immediately to demonstrate the feed.</w:t>
      </w:r>
    </w:p>
    <w:p>
      <w:pPr>
        <w:pStyle w:val="ListNumber"/>
      </w:pPr>
      <w:r>
        <w:t>Given a spike alert fires, Then the alert card includes the KPI value, percentage change, and link to the relevant dashboard.</w:t>
      </w:r>
    </w:p>
    <w:p>
      <w:pPr>
        <w:pStyle w:val="Heading3"/>
      </w:pPr>
      <w:r>
        <w:t>Non-goals and constraints</w:t>
      </w:r>
    </w:p>
    <w:p>
      <w:pPr>
        <w:pStyle w:val="ListBullet"/>
      </w:pPr>
      <w:r>
        <w:t>Write-back to external incident management systems</w:t>
      </w:r>
    </w:p>
    <w:p>
      <w:pPr>
        <w:pStyle w:val="ListBullet"/>
      </w:pPr>
      <w:r>
        <w:t>Automated remediation actions</w:t>
      </w:r>
    </w:p>
    <w:p>
      <w:pPr>
        <w:pStyle w:val="Heading2"/>
      </w:pPr>
      <w:r>
        <w:t>7.7 The Sage (AI Advisor)</w:t>
      </w:r>
    </w:p>
    <w:p>
      <w:r>
        <w:t>Recommend next-best actions with confidence, expected lift ranges, and traceable evidence links.</w:t>
      </w:r>
    </w:p>
    <w:tbl>
      <w:tblPr>
        <w:tblStyle w:val="LightGrid-Accent1"/>
        <w:tblW w:type="auto" w:w="0"/>
        <w:jc w:val="left"/>
        <w:tblLook w:firstColumn="1" w:firstRow="1" w:lastColumn="0" w:lastRow="0" w:noHBand="0" w:noVBand="1" w:val="04A0"/>
      </w:tblPr>
      <w:tblGrid>
        <w:gridCol w:w="4320"/>
        <w:gridCol w:w="4320"/>
      </w:tblGrid>
      <w:tr>
        <w:tc>
          <w:tcPr>
            <w:tcW w:type="dxa" w:w="2268"/>
          </w:tcPr>
          <w:p>
            <w:r>
              <w:rPr>
                <w:b/>
                <w:sz w:val="20"/>
              </w:rPr>
              <w:t>Item</w:t>
            </w:r>
          </w:p>
        </w:tc>
        <w:tc>
          <w:tcPr>
            <w:tcW w:type="dxa" w:w="7937"/>
          </w:tcPr>
          <w:p>
            <w:r>
              <w:rPr>
                <w:b/>
                <w:sz w:val="20"/>
              </w:rPr>
              <w:t>Detail</w:t>
            </w:r>
          </w:p>
        </w:tc>
      </w:tr>
      <w:tr>
        <w:tc>
          <w:tcPr>
            <w:tcW w:type="dxa" w:w="2268"/>
          </w:tcPr>
          <w:p>
            <w:r>
              <w:rPr>
                <w:sz w:val="20"/>
              </w:rPr>
              <w:t>Purpose</w:t>
            </w:r>
          </w:p>
        </w:tc>
        <w:tc>
          <w:tcPr>
            <w:tcW w:type="dxa" w:w="7937"/>
          </w:tcPr>
          <w:p>
            <w:r>
              <w:rPr>
                <w:sz w:val="20"/>
              </w:rPr>
              <w:t>Recommend next-best actions with confidence, expected lift ranges, and traceable evidence links.</w:t>
            </w:r>
          </w:p>
        </w:tc>
      </w:tr>
      <w:tr>
        <w:tc>
          <w:tcPr>
            <w:tcW w:type="dxa" w:w="2268"/>
          </w:tcPr>
          <w:p>
            <w:r>
              <w:rPr>
                <w:sz w:val="20"/>
              </w:rPr>
              <w:t>Short description</w:t>
            </w:r>
          </w:p>
        </w:tc>
        <w:tc>
          <w:tcPr>
            <w:tcW w:type="dxa" w:w="7937"/>
          </w:tcPr>
          <w:p>
            <w:r>
              <w:rPr>
                <w:sz w:val="20"/>
              </w:rPr>
              <w:t>Rule-plus-model hybrid that proposes: cadence changes, event suggestions, pricing tests, CRM campaign suggestions, best IAPs to expand revenue (competitor-informed with optional uploads), volume testing templates for new content, and tempo/type guidance from behavioural data when available. Each recommendation includes a rationale, expected lift range, and links to supporting evidence across dashboards. Guardrailed exploration ensures Foresight scenario checks run before recommendations are surfaced. Outcome logging tracks accepted/rejected advice.</w:t>
            </w:r>
          </w:p>
        </w:tc>
      </w:tr>
      <w:tr>
        <w:tc>
          <w:tcPr>
            <w:tcW w:type="dxa" w:w="2268"/>
          </w:tcPr>
          <w:p>
            <w:r>
              <w:rPr>
                <w:sz w:val="20"/>
              </w:rPr>
              <w:t>Estimated savings/value</w:t>
            </w:r>
          </w:p>
        </w:tc>
        <w:tc>
          <w:tcPr>
            <w:tcW w:type="dxa" w:w="7937"/>
          </w:tcPr>
          <w:p>
            <w:r>
              <w:rPr>
                <w:sz w:val="20"/>
              </w:rPr>
              <w:t>The Sage’s value is in decision quality and speed. Rather than analysts manually correlating data across modules to form a recommendation, The Sage synthesises signals and proposes actions with quantified expected outcomes. Estimated value: 5 to 10 percent revenue uplift on titles where recommendations are accepted, driven by better-timed events, optimised pricing, and reduced churn through proactive CRM. The outcome logging creates a learning loop that improves accuracy over time and provides measurable ROI evidence.</w:t>
            </w:r>
          </w:p>
        </w:tc>
      </w:tr>
    </w:tbl>
    <w:p/>
    <w:p>
      <w:pPr>
        <w:pStyle w:val="Heading3"/>
      </w:pPr>
      <w:r>
        <w:t>Primary value use cases</w:t>
      </w:r>
    </w:p>
    <w:p>
      <w:pPr>
        <w:pStyle w:val="ListBullet"/>
      </w:pPr>
      <w:r>
        <w:t>Plan next month’s content cadence with AI-recommended events and timing.</w:t>
      </w:r>
    </w:p>
    <w:p>
      <w:pPr>
        <w:pStyle w:val="ListBullet"/>
      </w:pPr>
      <w:r>
        <w:t>Design a limited-time bundle or pricing test with expected lift.</w:t>
      </w:r>
    </w:p>
    <w:p>
      <w:pPr>
        <w:pStyle w:val="ListBullet"/>
      </w:pPr>
      <w:r>
        <w:t>Trigger a CRM push for a segment showing signs of churn.</w:t>
      </w:r>
    </w:p>
    <w:p>
      <w:pPr>
        <w:pStyle w:val="ListBullet"/>
      </w:pPr>
      <w:r>
        <w:t>Compare The Sage’s recommendation against a Foresight scenario before committing.</w:t>
      </w:r>
    </w:p>
    <w:p>
      <w:pPr>
        <w:pStyle w:val="ListBullet"/>
      </w:pPr>
      <w:r>
        <w:t>Track recommendation outcomes to improve future advice quality.</w:t>
      </w:r>
    </w:p>
    <w:p>
      <w:pPr>
        <w:pStyle w:val="Heading3"/>
      </w:pPr>
      <w:r>
        <w:t>Design specification</w:t>
      </w:r>
    </w:p>
    <w:p>
      <w:r>
        <w:rPr>
          <w:b/>
        </w:rPr>
        <w:t xml:space="preserve">Inputs shown: </w:t>
      </w:r>
      <w:r>
        <w:t>Rationale, expected lift range, links to evidence across dashboards; outcome logging for accepted/rejected advice</w:t>
      </w:r>
    </w:p>
    <w:p>
      <w:r>
        <w:rPr>
          <w:b/>
        </w:rPr>
        <w:t xml:space="preserve">Interactions: </w:t>
      </w:r>
      <w:r>
        <w:t>Accept, reject, or modify recommendation; run Foresight scenario check; log outcomes</w:t>
      </w:r>
    </w:p>
    <w:p>
      <w:r>
        <w:rPr>
          <w:b/>
        </w:rPr>
        <w:t xml:space="preserve">Views: </w:t>
      </w:r>
      <w:r>
        <w:t>Recommendation feed per title; Evidence detail panel; Outcome history</w:t>
      </w:r>
    </w:p>
    <w:p>
      <w:r>
        <w:rPr>
          <w:b/>
        </w:rPr>
        <w:t xml:space="preserve">Performance SLO: </w:t>
      </w:r>
      <w:r>
        <w:t>Recommendation compile 2 seconds or less for demo titles</w:t>
      </w:r>
    </w:p>
    <w:p>
      <w:pPr>
        <w:pStyle w:val="Heading3"/>
      </w:pPr>
      <w:r>
        <w:t>Technical specification</w:t>
      </w:r>
    </w:p>
    <w:p>
      <w:r>
        <w:rPr>
          <w:b/>
        </w:rPr>
        <w:t xml:space="preserve">Lift range methodology: </w:t>
      </w:r>
      <w:r>
        <w:t>Lift ranges are derived from (a) historical impact of similar actions on comparable titles (collaborative filtering), (b) Foresight scenario delta for the recommended action, and (c) confidence interval based on data quality and sample size. Ranges are always presented as intervals, never point estimates.</w:t>
      </w:r>
    </w:p>
    <w:p>
      <w:r>
        <w:rPr>
          <w:b/>
        </w:rPr>
        <w:t xml:space="preserve">Policy layer: </w:t>
      </w:r>
      <w:r>
        <w:t>Rules plus heuristics; small models with priors. Future: bandit/RL policies with safety rails and human review post-demo.</w:t>
      </w:r>
    </w:p>
    <w:p>
      <w:r>
        <w:rPr>
          <w:b/>
        </w:rPr>
        <w:t xml:space="preserve">Guardrails: </w:t>
      </w:r>
      <w:r>
        <w:t>Foresight scenario check before surfacing; human review for high-impact recommendations. Guardrails are only as reliable as the underlying Foresight models. For v1, Sage recommendations include a Model Confidence indicator reflecting the accuracy of the supporting Foresight model (based on backtest MAPE).</w:t>
      </w:r>
    </w:p>
    <w:p>
      <w:r>
        <w:rPr>
          <w:b/>
        </w:rPr>
        <w:t xml:space="preserve">Outcome feedback loop: </w:t>
      </w:r>
      <w:r>
        <w:t>v1: outcome logging for manual analysis. Beta: acceptance and outcome data feeds into recommendation ranking model as training signal. V2: bandit/RL policy that learns from outcomes automatically.</w:t>
      </w:r>
    </w:p>
    <w:p>
      <w:r>
        <w:rPr>
          <w:b/>
        </w:rPr>
        <w:t xml:space="preserve">Storage: </w:t>
      </w:r>
      <w:r>
        <w:t>sage_recommendations, sage_actions_log</w:t>
      </w:r>
    </w:p>
    <w:p>
      <w:r>
        <w:rPr>
          <w:b/>
        </w:rPr>
        <w:t xml:space="preserve">Algorithms: </w:t>
      </w:r>
      <w:r>
        <w:t>Rule-based triggers, heuristic scoring, small ML models for ranking</w:t>
      </w:r>
    </w:p>
    <w:p>
      <w:r>
        <w:rPr>
          <w:b/>
        </w:rPr>
        <w:t xml:space="preserve">Observability: </w:t>
      </w:r>
      <w:r>
        <w:t>Acceptance rate, realised lift vs predicted, recommendation diversity metrics</w:t>
      </w:r>
    </w:p>
    <w:p>
      <w:pPr>
        <w:pStyle w:val="Heading3"/>
      </w:pPr>
      <w:r>
        <w:t>Acceptance criteria</w:t>
      </w:r>
    </w:p>
    <w:p>
      <w:pPr>
        <w:pStyle w:val="ListNumber"/>
      </w:pPr>
      <w:r>
        <w:t>Given a title with dipping conversion and stable sentiment, Then The Sage recommends a limited-time bundle with expected lift range and evidence link.</w:t>
      </w:r>
    </w:p>
    <w:p>
      <w:pPr>
        <w:pStyle w:val="ListNumber"/>
      </w:pPr>
      <w:r>
        <w:t>Given a title with sparse content cadence vs peers, Then The Sage recommends a mini-event with timing guidance.</w:t>
      </w:r>
    </w:p>
    <w:p>
      <w:pPr>
        <w:pStyle w:val="ListNumber"/>
      </w:pPr>
      <w:r>
        <w:t>For titles with sufficient data (defined as 30 or more days of KPI history and 100 or more reviews), The Sage generates one or more recommendations with evidence links and quantified lift ranges. Titles with insufficient data show a clear explanation of what additional data would enable recommendations.</w:t>
      </w:r>
    </w:p>
    <w:p>
      <w:pPr>
        <w:pStyle w:val="ListNumber"/>
      </w:pPr>
      <w:r>
        <w:t>Given a user accepts a recommendation, Then the outcome is logged and tracked against the predicted lift.</w:t>
      </w:r>
    </w:p>
    <w:p>
      <w:pPr>
        <w:pStyle w:val="Heading3"/>
      </w:pPr>
      <w:r>
        <w:t>Non-goals and constraints</w:t>
      </w:r>
    </w:p>
    <w:p>
      <w:pPr>
        <w:pStyle w:val="ListBullet"/>
      </w:pPr>
      <w:r>
        <w:t>Store page optimisation / ASO</w:t>
      </w:r>
    </w:p>
    <w:p>
      <w:pPr>
        <w:pStyle w:val="ListBullet"/>
      </w:pPr>
      <w:r>
        <w:t>Bug triage</w:t>
      </w:r>
    </w:p>
    <w:p>
      <w:pPr>
        <w:pStyle w:val="ListBullet"/>
      </w:pPr>
      <w:r>
        <w:t>Fully autonomous action execution</w:t>
      </w:r>
    </w:p>
    <w:p>
      <w:pPr>
        <w:pStyle w:val="ListBullet"/>
      </w:pPr>
      <w:r>
        <w:t>Public API for The Sage in v1</w:t>
      </w:r>
    </w:p>
    <w:p>
      <w:pPr>
        <w:pStyle w:val="Heading2"/>
      </w:pPr>
      <w:r>
        <w:t>7.8 Executive Dashboard</w:t>
      </w:r>
    </w:p>
    <w:p>
      <w:r>
        <w:t>Pre-configured dashboard with strategic tiles, quick-launch links to deeper modules, and one-click exports for board-ready output.</w:t>
      </w:r>
    </w:p>
    <w:tbl>
      <w:tblPr>
        <w:tblStyle w:val="LightGrid-Accent1"/>
        <w:tblW w:type="auto" w:w="0"/>
        <w:jc w:val="left"/>
        <w:tblLook w:firstColumn="1" w:firstRow="1" w:lastColumn="0" w:lastRow="0" w:noHBand="0" w:noVBand="1" w:val="04A0"/>
      </w:tblPr>
      <w:tblGrid>
        <w:gridCol w:w="4320"/>
        <w:gridCol w:w="4320"/>
      </w:tblGrid>
      <w:tr>
        <w:tc>
          <w:tcPr>
            <w:tcW w:type="dxa" w:w="2268"/>
          </w:tcPr>
          <w:p>
            <w:r>
              <w:rPr>
                <w:b/>
                <w:sz w:val="20"/>
              </w:rPr>
              <w:t>Item</w:t>
            </w:r>
          </w:p>
        </w:tc>
        <w:tc>
          <w:tcPr>
            <w:tcW w:type="dxa" w:w="7937"/>
          </w:tcPr>
          <w:p>
            <w:r>
              <w:rPr>
                <w:b/>
                <w:sz w:val="20"/>
              </w:rPr>
              <w:t>Detail</w:t>
            </w:r>
          </w:p>
        </w:tc>
      </w:tr>
      <w:tr>
        <w:tc>
          <w:tcPr>
            <w:tcW w:type="dxa" w:w="2268"/>
          </w:tcPr>
          <w:p>
            <w:r>
              <w:rPr>
                <w:sz w:val="20"/>
              </w:rPr>
              <w:t>Purpose</w:t>
            </w:r>
          </w:p>
        </w:tc>
        <w:tc>
          <w:tcPr>
            <w:tcW w:type="dxa" w:w="7937"/>
          </w:tcPr>
          <w:p>
            <w:r>
              <w:rPr>
                <w:sz w:val="20"/>
              </w:rPr>
              <w:t>Pre-configured dashboard with strategic tiles, quick-launch links to deeper modules, and one-click exports for board-ready output.</w:t>
            </w:r>
          </w:p>
        </w:tc>
      </w:tr>
      <w:tr>
        <w:tc>
          <w:tcPr>
            <w:tcW w:type="dxa" w:w="2268"/>
          </w:tcPr>
          <w:p>
            <w:r>
              <w:rPr>
                <w:sz w:val="20"/>
              </w:rPr>
              <w:t>Short description</w:t>
            </w:r>
          </w:p>
        </w:tc>
        <w:tc>
          <w:tcPr>
            <w:tcW w:type="dxa" w:w="7937"/>
          </w:tcPr>
          <w:p>
            <w:r>
              <w:rPr>
                <w:sz w:val="20"/>
              </w:rPr>
              <w:t>Default 6-tile layout: Portfolio health summary (titles trending up, down, or stable), 90-day Forecast summary, Sentiment delta, Update cadence heatmap, The Sage top recommendations, and Alerts feed. A Last Scenario tile shows the most recent Foresight scenario outcome with a one-click link to open or re-run it in the full Foresight module. Customisable: tiles can be rearranged, added, or removed. Role-specific saved configurations persist across sessions. One-click export to PDF or PNG for board-ready output. Presets available for Exec, PM, and Live-ops views.</w:t>
            </w:r>
          </w:p>
        </w:tc>
      </w:tr>
      <w:tr>
        <w:tc>
          <w:tcPr>
            <w:tcW w:type="dxa" w:w="2268"/>
          </w:tcPr>
          <w:p>
            <w:r>
              <w:rPr>
                <w:sz w:val="20"/>
              </w:rPr>
              <w:t>Estimated savings/value</w:t>
            </w:r>
          </w:p>
        </w:tc>
        <w:tc>
          <w:tcPr>
            <w:tcW w:type="dxa" w:w="7937"/>
          </w:tcPr>
          <w:p>
            <w:r>
              <w:rPr>
                <w:sz w:val="20"/>
              </w:rPr>
              <w:t>Reduces time-to-insight for decision-makers from hours of report generation to seconds. The dashboard is a consumption and navigation surface: it answers at-a-glance questions and fast-tracks users into the right module for deeper work.</w:t>
            </w:r>
          </w:p>
        </w:tc>
      </w:tr>
    </w:tbl>
    <w:p/>
    <w:p>
      <w:pPr>
        <w:pStyle w:val="Heading3"/>
      </w:pPr>
      <w:r>
        <w:t>Primary value use cases</w:t>
      </w:r>
    </w:p>
    <w:p>
      <w:pPr>
        <w:pStyle w:val="ListBullet"/>
      </w:pPr>
      <w:r>
        <w:t>Open Playsage and immediately see portfolio health without configuring filters.</w:t>
      </w:r>
    </w:p>
    <w:p>
      <w:pPr>
        <w:pStyle w:val="ListBullet"/>
      </w:pPr>
      <w:r>
        <w:t>Click into Foresight from the dashboard with context preserved to model a pricing or cadence change.</w:t>
      </w:r>
    </w:p>
    <w:p>
      <w:pPr>
        <w:pStyle w:val="ListBullet"/>
      </w:pPr>
      <w:r>
        <w:t>Share a board-ready dashboard screenshot or PDF with one click.</w:t>
      </w:r>
    </w:p>
    <w:p>
      <w:pPr>
        <w:pStyle w:val="ListBullet"/>
      </w:pPr>
      <w:r>
        <w:t>Customise layout to focus on the metrics that matter most to each decision-maker.</w:t>
      </w:r>
    </w:p>
    <w:p>
      <w:pPr>
        <w:pStyle w:val="Heading3"/>
      </w:pPr>
      <w:r>
        <w:t>Design specification</w:t>
      </w:r>
    </w:p>
    <w:p>
      <w:r>
        <w:rPr>
          <w:b/>
        </w:rPr>
        <w:t xml:space="preserve">Layout: </w:t>
      </w:r>
      <w:r>
        <w:t>6-tile default grid; drag-to-rearrange; tile library for additions</w:t>
      </w:r>
    </w:p>
    <w:p>
      <w:r>
        <w:rPr>
          <w:b/>
        </w:rPr>
        <w:t xml:space="preserve">Default tiles: </w:t>
      </w:r>
      <w:r>
        <w:t>Portfolio health summary, Forecast 90d summary, Sentiment delta, Cadence heatmap, The Sage top recommendations, Alerts feed</w:t>
      </w:r>
    </w:p>
    <w:p>
      <w:r>
        <w:rPr>
          <w:b/>
        </w:rPr>
        <w:t xml:space="preserve">Last Scenario tile: </w:t>
      </w:r>
      <w:r>
        <w:t>Shows most recent Foresight scenario summary (title, lever changed, projected delta) with one-click link to open or re-run in Foresight</w:t>
      </w:r>
    </w:p>
    <w:p>
      <w:r>
        <w:rPr>
          <w:b/>
        </w:rPr>
        <w:t xml:space="preserve">Performance SLO: </w:t>
      </w:r>
      <w:r>
        <w:t>Dashboard load 3 seconds or less</w:t>
      </w:r>
    </w:p>
    <w:p>
      <w:r>
        <w:rPr>
          <w:b/>
        </w:rPr>
        <w:t xml:space="preserve">States: </w:t>
      </w:r>
      <w:r>
        <w:t>First-use: default layout with guided tour. The guided tour helps users configure tiles relevant to their portfolio size. Returning: saved personalisation.</w:t>
      </w:r>
    </w:p>
    <w:p>
      <w:pPr>
        <w:pStyle w:val="Heading3"/>
      </w:pPr>
      <w:r>
        <w:t>Technical specification</w:t>
      </w:r>
    </w:p>
    <w:p>
      <w:r>
        <w:rPr>
          <w:b/>
        </w:rPr>
        <w:t xml:space="preserve">Data inputs: </w:t>
      </w:r>
      <w:r>
        <w:t>Aggregated outputs from all modules</w:t>
      </w:r>
    </w:p>
    <w:p>
      <w:r>
        <w:rPr>
          <w:b/>
        </w:rPr>
        <w:t xml:space="preserve">Storage: </w:t>
      </w:r>
      <w:r>
        <w:t>User preference store for layout configurations</w:t>
      </w:r>
    </w:p>
    <w:p>
      <w:r>
        <w:rPr>
          <w:b/>
        </w:rPr>
        <w:t xml:space="preserve">Services/endpoints: </w:t>
      </w:r>
      <w:r>
        <w:t>Aggregation layer serving tile data; deep-link routing to modules</w:t>
      </w:r>
    </w:p>
    <w:p>
      <w:r>
        <w:rPr>
          <w:b/>
        </w:rPr>
        <w:t xml:space="preserve">Observability: </w:t>
      </w:r>
      <w:r>
        <w:t>Tile load times, user engagement per tile, drill-through click rates</w:t>
      </w:r>
    </w:p>
    <w:p>
      <w:pPr>
        <w:pStyle w:val="Heading3"/>
      </w:pPr>
      <w:r>
        <w:t>Acceptance criteria</w:t>
      </w:r>
    </w:p>
    <w:p>
      <w:pPr>
        <w:pStyle w:val="ListNumber"/>
      </w:pPr>
      <w:r>
        <w:t>Given a new user, When they first open the dashboard, Then the 6-tile default layout appears with a brief guided tour.</w:t>
      </w:r>
    </w:p>
    <w:p>
      <w:pPr>
        <w:pStyle w:val="ListNumber"/>
      </w:pPr>
      <w:r>
        <w:t>Given a user rearranges tiles, When they return later, Then the customised layout persists.</w:t>
      </w:r>
    </w:p>
    <w:p>
      <w:pPr>
        <w:pStyle w:val="ListNumber"/>
      </w:pPr>
      <w:r>
        <w:t>Given a user clicks a tile, Then they drill into the full module with context preserved.</w:t>
      </w:r>
    </w:p>
    <w:p>
      <w:pPr>
        <w:pStyle w:val="ListNumber"/>
      </w:pPr>
      <w:r>
        <w:t>Given a user clicks the Last Scenario tile, Then the Foresight module opens with the most recent scenario loaded.</w:t>
      </w:r>
    </w:p>
    <w:p>
      <w:pPr>
        <w:pStyle w:val="ListNumber"/>
      </w:pPr>
      <w:r>
        <w:t>Given a user clicks Export PDF, Then a board-ready PDF of the current dashboard is generated within 30 seconds.</w:t>
      </w:r>
    </w:p>
    <w:p>
      <w:pPr>
        <w:pStyle w:val="Heading3"/>
      </w:pPr>
      <w:r>
        <w:t>Non-goals and constraints</w:t>
      </w:r>
    </w:p>
    <w:p>
      <w:pPr>
        <w:pStyle w:val="ListBullet"/>
      </w:pPr>
      <w:r>
        <w:t>Inline scenario modelling (Foresight handles this)</w:t>
      </w:r>
    </w:p>
    <w:p>
      <w:pPr>
        <w:pStyle w:val="ListBullet"/>
      </w:pPr>
      <w:r>
        <w:t>Custom tile creation from arbitrary queries (v2)</w:t>
      </w:r>
    </w:p>
    <w:p>
      <w:pPr>
        <w:pStyle w:val="ListBullet"/>
      </w:pPr>
      <w:r>
        <w:t>Shared dashboard publishing to external stakeholders</w:t>
      </w:r>
    </w:p>
    <w:p>
      <w:pPr>
        <w:pStyle w:val="Heading2"/>
      </w:pPr>
      <w:r>
        <w:t>7.9 Finance and IAP Pricing Intelligence</w:t>
      </w:r>
    </w:p>
    <w:p>
      <w:r>
        <w:t>Transparent financial modelling for storefront fees, price elasticity, revenue recognition, and IAP affordability.</w:t>
      </w:r>
    </w:p>
    <w:tbl>
      <w:tblPr>
        <w:tblStyle w:val="LightGrid-Accent1"/>
        <w:tblW w:type="auto" w:w="0"/>
        <w:jc w:val="left"/>
        <w:tblLook w:firstColumn="1" w:firstRow="1" w:lastColumn="0" w:lastRow="0" w:noHBand="0" w:noVBand="1" w:val="04A0"/>
      </w:tblPr>
      <w:tblGrid>
        <w:gridCol w:w="4320"/>
        <w:gridCol w:w="4320"/>
      </w:tblGrid>
      <w:tr>
        <w:tc>
          <w:tcPr>
            <w:tcW w:type="dxa" w:w="2268"/>
          </w:tcPr>
          <w:p>
            <w:r>
              <w:rPr>
                <w:b/>
                <w:sz w:val="20"/>
              </w:rPr>
              <w:t>Item</w:t>
            </w:r>
          </w:p>
        </w:tc>
        <w:tc>
          <w:tcPr>
            <w:tcW w:type="dxa" w:w="7937"/>
          </w:tcPr>
          <w:p>
            <w:r>
              <w:rPr>
                <w:b/>
                <w:sz w:val="20"/>
              </w:rPr>
              <w:t>Detail</w:t>
            </w:r>
          </w:p>
        </w:tc>
      </w:tr>
      <w:tr>
        <w:tc>
          <w:tcPr>
            <w:tcW w:type="dxa" w:w="2268"/>
          </w:tcPr>
          <w:p>
            <w:r>
              <w:rPr>
                <w:sz w:val="20"/>
              </w:rPr>
              <w:t>Purpose</w:t>
            </w:r>
          </w:p>
        </w:tc>
        <w:tc>
          <w:tcPr>
            <w:tcW w:type="dxa" w:w="7937"/>
          </w:tcPr>
          <w:p>
            <w:r>
              <w:rPr>
                <w:sz w:val="20"/>
              </w:rPr>
              <w:t>Transparent financial modelling for storefront fees, price elasticity, revenue recognition, and IAP affordability.</w:t>
            </w:r>
          </w:p>
        </w:tc>
      </w:tr>
      <w:tr>
        <w:tc>
          <w:tcPr>
            <w:tcW w:type="dxa" w:w="2268"/>
          </w:tcPr>
          <w:p>
            <w:r>
              <w:rPr>
                <w:sz w:val="20"/>
              </w:rPr>
              <w:t>Short description</w:t>
            </w:r>
          </w:p>
        </w:tc>
        <w:tc>
          <w:tcPr>
            <w:tcW w:type="dxa" w:w="7937"/>
          </w:tcPr>
          <w:p>
            <w:r>
              <w:rPr>
                <w:sz w:val="20"/>
              </w:rPr>
              <w:t>Storefront fee schedules per store with per-title overrides and toggles (Apple EU alternative terms with CTF and optional IAP processing, Google user-choice billing with -4pp). Price elasticity defaults for Box (epsilon -1.4) and DLC (epsilon -1.8) with uplift cap +300 percent and regional price floors. Revenue recognition rules by item class. Monetisation signature detection: battle pass, gacha, rotating shop, time-limited bundles, stamina/energy consumables, loot keys/chests, cosmetics-only IAP, power progression IAP, DLC, and expansions. IAP affordability by region (US, UK, EU-West, EU-East) with a country-level calculator on the roadmap. Storefront fee defaults: Steam 30/25/20 tiered; Epic 0% first $1M then 12%; Microsoft Store (PC) 12%; PlayStation 30%; Xbox 30%; Nintendo 30%; iOS 30% (15% small business programme; subs 30% then 15%); Google Play 15% on first $1M then 30% (subs 15%); PC direct 2 to 3.5% plus fixed fee.</w:t>
            </w:r>
          </w:p>
        </w:tc>
      </w:tr>
      <w:tr>
        <w:tc>
          <w:tcPr>
            <w:tcW w:type="dxa" w:w="2268"/>
          </w:tcPr>
          <w:p>
            <w:r>
              <w:rPr>
                <w:sz w:val="20"/>
              </w:rPr>
              <w:t>Estimated savings/value</w:t>
            </w:r>
          </w:p>
        </w:tc>
        <w:tc>
          <w:tcPr>
            <w:tcW w:type="dxa" w:w="7937"/>
          </w:tcPr>
          <w:p>
            <w:r>
              <w:rPr>
                <w:sz w:val="20"/>
              </w:rPr>
              <w:t>Reduces financial modelling errors and enables faster pricing decisions with quantified confidence.</w:t>
            </w:r>
          </w:p>
        </w:tc>
      </w:tr>
    </w:tbl>
    <w:p/>
    <w:p>
      <w:pPr>
        <w:pStyle w:val="Heading3"/>
      </w:pPr>
      <w:r>
        <w:t>Primary value use cases</w:t>
      </w:r>
    </w:p>
    <w:p>
      <w:pPr>
        <w:pStyle w:val="ListBullet"/>
      </w:pPr>
      <w:r>
        <w:t>Model net revenue accurately using the correct storefront fee schedule for each platform.</w:t>
      </w:r>
    </w:p>
    <w:p>
      <w:pPr>
        <w:pStyle w:val="ListBullet"/>
      </w:pPr>
      <w:r>
        <w:t>Simulate Box or DLC price changes using calibrated elasticity curves.</w:t>
      </w:r>
    </w:p>
    <w:p>
      <w:pPr>
        <w:pStyle w:val="ListBullet"/>
      </w:pPr>
      <w:r>
        <w:t>Detect and classify competitors’ monetisation patterns for benchmarking.</w:t>
      </w:r>
    </w:p>
    <w:p>
      <w:pPr>
        <w:pStyle w:val="ListBullet"/>
      </w:pPr>
      <w:r>
        <w:t>Understand IAP affordability differences across regions before setting prices.</w:t>
      </w:r>
    </w:p>
    <w:p>
      <w:pPr>
        <w:pStyle w:val="ListBullet"/>
      </w:pPr>
      <w:r>
        <w:t>Override default assumptions per title for bespoke financial modelling.</w:t>
      </w:r>
    </w:p>
    <w:p>
      <w:pPr>
        <w:pStyle w:val="Heading3"/>
      </w:pPr>
      <w:r>
        <w:t>Design specification</w:t>
      </w:r>
    </w:p>
    <w:p>
      <w:r>
        <w:rPr>
          <w:b/>
        </w:rPr>
        <w:t xml:space="preserve">Filters: </w:t>
      </w:r>
      <w:r>
        <w:t>Store, title, region, item class</w:t>
      </w:r>
    </w:p>
    <w:p>
      <w:r>
        <w:rPr>
          <w:b/>
        </w:rPr>
        <w:t xml:space="preserve">KPIs displayed: </w:t>
      </w:r>
      <w:r>
        <w:t>Box units, DLC units, net receipts, estimated net revenue after storefront fees (calculable from public price data and published fee schedules), storefront fee breakdown</w:t>
      </w:r>
    </w:p>
    <w:p>
      <w:r>
        <w:rPr>
          <w:b/>
        </w:rPr>
        <w:t xml:space="preserve">Views: </w:t>
      </w:r>
      <w:r>
        <w:t>Fee calculator; Elasticity simulator; Monetisation signature map; Regional affordability comparison</w:t>
      </w:r>
    </w:p>
    <w:p>
      <w:r>
        <w:rPr>
          <w:b/>
        </w:rPr>
        <w:t xml:space="preserve">Core interactions: </w:t>
      </w:r>
      <w:r>
        <w:t>Toggle store-specific overrides; adjust elasticity parameters; export financial model</w:t>
      </w:r>
    </w:p>
    <w:p>
      <w:r>
        <w:rPr>
          <w:b/>
        </w:rPr>
        <w:t xml:space="preserve">Performance SLO: </w:t>
      </w:r>
      <w:r>
        <w:t>Calculations instant (client-side or cached)</w:t>
      </w:r>
    </w:p>
    <w:p>
      <w:r>
        <w:rPr>
          <w:b/>
        </w:rPr>
        <w:t xml:space="preserve">Apple EU note: </w:t>
      </w:r>
      <w:r>
        <w:t>Core Technology Fee (CTF) calculations are estimates based on projected install volumes. Actual CTF obligations depend on verified install counts from Apple. A confidence note is displayed alongside all CTF estimates.</w:t>
      </w:r>
    </w:p>
    <w:p>
      <w:pPr>
        <w:pStyle w:val="Heading3"/>
      </w:pPr>
      <w:r>
        <w:t>Technical specification</w:t>
      </w:r>
    </w:p>
    <w:p>
      <w:r>
        <w:rPr>
          <w:b/>
        </w:rPr>
        <w:t xml:space="preserve">Data inputs: </w:t>
      </w:r>
      <w:r>
        <w:t>Price history, store fee schedules, IAP catalogs, regional pricing data</w:t>
      </w:r>
    </w:p>
    <w:p>
      <w:r>
        <w:rPr>
          <w:b/>
        </w:rPr>
        <w:t xml:space="preserve">Transforms/jobs: </w:t>
      </w:r>
      <w:r>
        <w:t>Elasticity curve application, fee computation, monetisation pattern classification</w:t>
      </w:r>
    </w:p>
    <w:p>
      <w:r>
        <w:rPr>
          <w:b/>
        </w:rPr>
        <w:t xml:space="preserve">Storage: </w:t>
      </w:r>
      <w:r>
        <w:t>price_history, iap_skus, iap_price_history, monetisation_signatures, finance_defaults</w:t>
      </w:r>
    </w:p>
    <w:p>
      <w:r>
        <w:rPr>
          <w:b/>
        </w:rPr>
        <w:t xml:space="preserve">Algorithms: </w:t>
      </w:r>
      <w:r>
        <w:t>Price elasticity curves, monetisation pattern classifiers (rule-based for v1)</w:t>
      </w:r>
    </w:p>
    <w:p>
      <w:pPr>
        <w:pStyle w:val="Heading3"/>
      </w:pPr>
      <w:r>
        <w:t>Acceptance criteria</w:t>
      </w:r>
    </w:p>
    <w:p>
      <w:pPr>
        <w:pStyle w:val="ListNumber"/>
      </w:pPr>
      <w:r>
        <w:t>Given a user selects a title on Steam, When they view the fee breakdown, Then the tiered Steam fee schedule (30/25/20) is applied correctly.</w:t>
      </w:r>
    </w:p>
    <w:p>
      <w:pPr>
        <w:pStyle w:val="ListNumber"/>
      </w:pPr>
      <w:r>
        <w:t>Given a user toggles Apple EU alternative terms, Then the CTF and optional processing fee adjustments are reflected.</w:t>
      </w:r>
    </w:p>
    <w:p>
      <w:pPr>
        <w:pStyle w:val="ListNumber"/>
      </w:pPr>
      <w:r>
        <w:t>Given a user adjusts a Box price, Then the elasticity model shows expected unit and revenue changes.</w:t>
      </w:r>
    </w:p>
    <w:p>
      <w:pPr>
        <w:pStyle w:val="ListNumber"/>
      </w:pPr>
      <w:r>
        <w:t>Given a title’s monetisation pattern is detected, Then the correct signature (for example, battle pass, gacha) is displayed.</w:t>
      </w:r>
    </w:p>
    <w:p>
      <w:pPr>
        <w:pStyle w:val="Heading3"/>
      </w:pPr>
      <w:r>
        <w:t>Non-goals and constraints</w:t>
      </w:r>
    </w:p>
    <w:p>
      <w:pPr>
        <w:pStyle w:val="ListBullet"/>
      </w:pPr>
      <w:r>
        <w:t>Country-level IAP affordability calculator (post-v1)</w:t>
      </w:r>
    </w:p>
    <w:p>
      <w:pPr>
        <w:pStyle w:val="ListBullet"/>
      </w:pPr>
      <w:r>
        <w:t>Automated pricing recommendations from The Sage</w:t>
      </w:r>
    </w:p>
    <w:p>
      <w:pPr>
        <w:pStyle w:val="ListBullet"/>
      </w:pPr>
      <w:r>
        <w:t>Real-time transaction data ingestion</w:t>
      </w:r>
    </w:p>
    <w:p>
      <w:pPr>
        <w:pStyle w:val="Heading2"/>
      </w:pPr>
      <w:r>
        <w:t>7.10 API and Integrations (Roadmap)</w:t>
      </w:r>
    </w:p>
    <w:p>
      <w:r>
        <w:t>Read-only API endpoints for external consumption of Playsage data and integration with downstream tools.</w:t>
      </w:r>
    </w:p>
    <w:tbl>
      <w:tblPr>
        <w:tblStyle w:val="LightGrid-Accent1"/>
        <w:tblW w:type="auto" w:w="0"/>
        <w:jc w:val="left"/>
        <w:tblLook w:firstColumn="1" w:firstRow="1" w:lastColumn="0" w:lastRow="0" w:noHBand="0" w:noVBand="1" w:val="04A0"/>
      </w:tblPr>
      <w:tblGrid>
        <w:gridCol w:w="4320"/>
        <w:gridCol w:w="4320"/>
      </w:tblGrid>
      <w:tr>
        <w:tc>
          <w:tcPr>
            <w:tcW w:type="dxa" w:w="2268"/>
          </w:tcPr>
          <w:p>
            <w:r>
              <w:rPr>
                <w:b/>
                <w:sz w:val="20"/>
              </w:rPr>
              <w:t>Item</w:t>
            </w:r>
          </w:p>
        </w:tc>
        <w:tc>
          <w:tcPr>
            <w:tcW w:type="dxa" w:w="7937"/>
          </w:tcPr>
          <w:p>
            <w:r>
              <w:rPr>
                <w:b/>
                <w:sz w:val="20"/>
              </w:rPr>
              <w:t>Detail</w:t>
            </w:r>
          </w:p>
        </w:tc>
      </w:tr>
      <w:tr>
        <w:tc>
          <w:tcPr>
            <w:tcW w:type="dxa" w:w="2268"/>
          </w:tcPr>
          <w:p>
            <w:r>
              <w:rPr>
                <w:sz w:val="20"/>
              </w:rPr>
              <w:t>Purpose</w:t>
            </w:r>
          </w:p>
        </w:tc>
        <w:tc>
          <w:tcPr>
            <w:tcW w:type="dxa" w:w="7937"/>
          </w:tcPr>
          <w:p>
            <w:r>
              <w:rPr>
                <w:sz w:val="20"/>
              </w:rPr>
              <w:t>Read-only API endpoints for external consumption of Playsage data and integration with downstream tools.</w:t>
            </w:r>
          </w:p>
        </w:tc>
      </w:tr>
      <w:tr>
        <w:tc>
          <w:tcPr>
            <w:tcW w:type="dxa" w:w="2268"/>
          </w:tcPr>
          <w:p>
            <w:r>
              <w:rPr>
                <w:sz w:val="20"/>
              </w:rPr>
              <w:t>Short description</w:t>
            </w:r>
          </w:p>
        </w:tc>
        <w:tc>
          <w:tcPr>
            <w:tcW w:type="dxa" w:w="7937"/>
          </w:tcPr>
          <w:p>
            <w:r>
              <w:rPr>
                <w:sz w:val="20"/>
              </w:rPr>
              <w:t>API tab reserved in navigation for v1. Post-demo: read-only endpoints for catalog, KPIs, releases, sentiment, and forecasts. Webhooks for alerts and The Sage. Export formats include CSV, XLSX, PDF, PNG, and PPT (v1: template-based single-module exports only; full cross-module presentation generation targeted for v2). Scheduled reports: Weekly Industry Brief (1-page summary covering top movers in tracked genres, notable releases, sentiment shifts, and Sage highlights) and Monthly Genre Pack. BI connector targets: Looker, Tableau, Power BI, Sheets.</w:t>
            </w:r>
          </w:p>
        </w:tc>
      </w:tr>
      <w:tr>
        <w:tc>
          <w:tcPr>
            <w:tcW w:type="dxa" w:w="2268"/>
          </w:tcPr>
          <w:p>
            <w:r>
              <w:rPr>
                <w:sz w:val="20"/>
              </w:rPr>
              <w:t>Estimated savings/value</w:t>
            </w:r>
          </w:p>
        </w:tc>
        <w:tc>
          <w:tcPr>
            <w:tcW w:type="dxa" w:w="7937"/>
          </w:tcPr>
          <w:p>
            <w:r>
              <w:rPr>
                <w:sz w:val="20"/>
              </w:rPr>
              <w:t>Eliminates manual data re-entry and enables seamless integration with existing analytics stacks.</w:t>
            </w:r>
          </w:p>
        </w:tc>
      </w:tr>
    </w:tbl>
    <w:p/>
    <w:p>
      <w:pPr>
        <w:pStyle w:val="Heading3"/>
      </w:pPr>
      <w:r>
        <w:t>Primary value use cases</w:t>
      </w:r>
    </w:p>
    <w:p>
      <w:pPr>
        <w:pStyle w:val="ListBullet"/>
      </w:pPr>
      <w:r>
        <w:t>Pull Playsage data into internal BI dashboards or data warehouses.</w:t>
      </w:r>
    </w:p>
    <w:p>
      <w:pPr>
        <w:pStyle w:val="ListBullet"/>
      </w:pPr>
      <w:r>
        <w:t>Trigger downstream workflows from alert webhooks.</w:t>
      </w:r>
    </w:p>
    <w:p>
      <w:pPr>
        <w:pStyle w:val="ListBullet"/>
      </w:pPr>
      <w:r>
        <w:t>Schedule automated report delivery for recurring stakeholder updates.</w:t>
      </w:r>
    </w:p>
    <w:p>
      <w:pPr>
        <w:pStyle w:val="Heading3"/>
      </w:pPr>
      <w:r>
        <w:t>Design specification</w:t>
      </w:r>
    </w:p>
    <w:p>
      <w:r>
        <w:rPr>
          <w:b/>
        </w:rPr>
        <w:t xml:space="preserve">Scope for v1 demo: </w:t>
      </w:r>
      <w:r>
        <w:t>Navigation label reserved. No public endpoints in v1 demo.</w:t>
      </w:r>
    </w:p>
    <w:p>
      <w:r>
        <w:rPr>
          <w:b/>
        </w:rPr>
        <w:t xml:space="preserve">Post-demo scope: </w:t>
      </w:r>
      <w:r>
        <w:t>Read endpoints for all modules; scoped API keys; schema catalog; usage analytics; pagination and rate-limit headers</w:t>
      </w:r>
    </w:p>
    <w:p>
      <w:r>
        <w:rPr>
          <w:b/>
        </w:rPr>
        <w:t xml:space="preserve">Performance SLO: </w:t>
      </w:r>
      <w:r>
        <w:t>API responses match UI numbers exactly</w:t>
      </w:r>
    </w:p>
    <w:p>
      <w:pPr>
        <w:pStyle w:val="Heading3"/>
      </w:pPr>
      <w:r>
        <w:t>Technical specification</w:t>
      </w:r>
    </w:p>
    <w:p>
      <w:r>
        <w:rPr>
          <w:b/>
        </w:rPr>
        <w:t xml:space="preserve">Data inputs: </w:t>
      </w:r>
      <w:r>
        <w:t>All module outputs</w:t>
      </w:r>
    </w:p>
    <w:p>
      <w:r>
        <w:rPr>
          <w:b/>
        </w:rPr>
        <w:t xml:space="preserve">Services/endpoints: </w:t>
      </w:r>
      <w:r>
        <w:t>FastAPI; OAuth2 authentication; rate limiting</w:t>
      </w:r>
    </w:p>
    <w:p>
      <w:r>
        <w:rPr>
          <w:b/>
        </w:rPr>
        <w:t xml:space="preserve">Storage: </w:t>
      </w:r>
      <w:r>
        <w:t>API keys, usage logs</w:t>
      </w:r>
    </w:p>
    <w:p>
      <w:r>
        <w:rPr>
          <w:b/>
        </w:rPr>
        <w:t xml:space="preserve">Observability: </w:t>
      </w:r>
      <w:r>
        <w:t>Request volume, latency, error rates, usage per endpoint</w:t>
      </w:r>
    </w:p>
    <w:p>
      <w:pPr>
        <w:pStyle w:val="Heading3"/>
      </w:pPr>
      <w:r>
        <w:t>Acceptance criteria</w:t>
      </w:r>
    </w:p>
    <w:p>
      <w:pPr>
        <w:pStyle w:val="ListNumber"/>
      </w:pPr>
      <w:r>
        <w:t>Given a valid API key, When a GET request is made to the KPI endpoint, Then the response matches the UI dashboard values exactly.</w:t>
      </w:r>
    </w:p>
    <w:p>
      <w:pPr>
        <w:pStyle w:val="ListNumber"/>
      </w:pPr>
      <w:r>
        <w:t>Given an alert fires, When a webhook is configured, Then the webhook payload is delivered within the alert SLO.</w:t>
      </w:r>
    </w:p>
    <w:p>
      <w:pPr>
        <w:pStyle w:val="ListNumber"/>
      </w:pPr>
      <w:r>
        <w:t>Given a user schedules a Weekly Industry Brief, Then the report is delivered on schedule with current data.</w:t>
      </w:r>
    </w:p>
    <w:p>
      <w:pPr>
        <w:pStyle w:val="Heading3"/>
      </w:pPr>
      <w:r>
        <w:t>Non-goals and constraints</w:t>
      </w:r>
    </w:p>
    <w:p>
      <w:pPr>
        <w:pStyle w:val="ListBullet"/>
      </w:pPr>
      <w:r>
        <w:t>Write-back to third-party tools</w:t>
      </w:r>
    </w:p>
    <w:p>
      <w:pPr>
        <w:pStyle w:val="ListBullet"/>
      </w:pPr>
      <w:r>
        <w:t>Real-time streaming API</w:t>
      </w:r>
    </w:p>
    <w:p>
      <w:pPr>
        <w:pStyle w:val="ListBullet"/>
      </w:pPr>
      <w:r>
        <w:t>Automated experiment triggers</w:t>
      </w:r>
    </w:p>
    <w:p>
      <w:r>
        <w:t>The following ten modules form the NBI Human Capital analytics pack. They provide studio operations visibility covering people, performance, hiring, compensation, and risk. Data sources include survey imports, project management tool connectors (Jira, Azure Boards, Shortcut), HR/ATS connectors or CSV import, LMS exports, and internal tool analytics. All people data is subject to aggregation thresholds to avoid individual exposure. The Human Capital pack is included in the Enterprise tier and available as an add-on for Pro tier customers.</w:t>
      </w:r>
    </w:p>
    <w:p>
      <w:pPr>
        <w:pStyle w:val="Heading2"/>
      </w:pPr>
      <w:r>
        <w:t>7.11 NBI Human Capital: Org Health Diagnostics</w:t>
      </w:r>
    </w:p>
    <w:tbl>
      <w:tblPr>
        <w:tblStyle w:val="LightGrid-Accent1"/>
        <w:tblW w:type="auto" w:w="0"/>
        <w:jc w:val="left"/>
        <w:tblLook w:firstColumn="1" w:firstRow="1" w:lastColumn="0" w:lastRow="0" w:noHBand="0" w:noVBand="1" w:val="04A0"/>
      </w:tblPr>
      <w:tblGrid>
        <w:gridCol w:w="4320"/>
        <w:gridCol w:w="4320"/>
      </w:tblGrid>
      <w:tr>
        <w:tc>
          <w:tcPr>
            <w:tcW w:type="dxa" w:w="2268"/>
          </w:tcPr>
          <w:p>
            <w:r>
              <w:rPr>
                <w:b/>
                <w:sz w:val="20"/>
              </w:rPr>
              <w:t>Item</w:t>
            </w:r>
          </w:p>
        </w:tc>
        <w:tc>
          <w:tcPr>
            <w:tcW w:type="dxa" w:w="7937"/>
          </w:tcPr>
          <w:p>
            <w:r>
              <w:rPr>
                <w:b/>
                <w:sz w:val="20"/>
              </w:rPr>
              <w:t>Detail</w:t>
            </w:r>
          </w:p>
        </w:tc>
      </w:tr>
      <w:tr>
        <w:tc>
          <w:tcPr>
            <w:tcW w:type="dxa" w:w="2268"/>
          </w:tcPr>
          <w:p>
            <w:r>
              <w:rPr>
                <w:sz w:val="20"/>
              </w:rPr>
              <w:t>Purpose</w:t>
            </w:r>
          </w:p>
        </w:tc>
        <w:tc>
          <w:tcPr>
            <w:tcW w:type="dxa" w:w="7937"/>
          </w:tcPr>
          <w:p>
            <w:r>
              <w:rPr>
                <w:sz w:val="20"/>
              </w:rPr>
              <w:t>Surface engagement, belonging, clarity, recognition, and psychological safety scores across the studio.</w:t>
            </w:r>
          </w:p>
        </w:tc>
      </w:tr>
      <w:tr>
        <w:tc>
          <w:tcPr>
            <w:tcW w:type="dxa" w:w="2268"/>
          </w:tcPr>
          <w:p>
            <w:r>
              <w:rPr>
                <w:sz w:val="20"/>
              </w:rPr>
              <w:t>Signals / view</w:t>
            </w:r>
          </w:p>
        </w:tc>
        <w:tc>
          <w:tcPr>
            <w:tcW w:type="dxa" w:w="7937"/>
          </w:tcPr>
          <w:p>
            <w:r>
              <w:rPr>
                <w:sz w:val="20"/>
              </w:rPr>
              <w:t>Engagement score (E score), E score trend, variance across org and discipline, heatmap by location.</w:t>
            </w:r>
          </w:p>
        </w:tc>
      </w:tr>
      <w:tr>
        <w:tc>
          <w:tcPr>
            <w:tcW w:type="dxa" w:w="2268"/>
          </w:tcPr>
          <w:p>
            <w:r>
              <w:rPr>
                <w:sz w:val="20"/>
              </w:rPr>
              <w:t>Metrics / data</w:t>
            </w:r>
          </w:p>
        </w:tc>
        <w:tc>
          <w:tcPr>
            <w:tcW w:type="dxa" w:w="7937"/>
          </w:tcPr>
          <w:p>
            <w:r>
              <w:rPr>
                <w:sz w:val="20"/>
              </w:rPr>
              <w:t>Engagement index, belonging index, clarity index, recognition index, safety index. All derived from survey data.</w:t>
            </w:r>
          </w:p>
        </w:tc>
      </w:tr>
      <w:tr>
        <w:tc>
          <w:tcPr>
            <w:tcW w:type="dxa" w:w="2268"/>
          </w:tcPr>
          <w:p>
            <w:r>
              <w:rPr>
                <w:sz w:val="20"/>
              </w:rPr>
              <w:t>Inputs</w:t>
            </w:r>
          </w:p>
        </w:tc>
        <w:tc>
          <w:tcPr>
            <w:tcW w:type="dxa" w:w="7937"/>
          </w:tcPr>
          <w:p>
            <w:r>
              <w:rPr>
                <w:sz w:val="20"/>
              </w:rPr>
              <w:t>Survey CSV import, Typeform connector.</w:t>
            </w:r>
          </w:p>
        </w:tc>
      </w:tr>
      <w:tr>
        <w:tc>
          <w:tcPr>
            <w:tcW w:type="dxa" w:w="2268"/>
          </w:tcPr>
          <w:p>
            <w:r>
              <w:rPr>
                <w:sz w:val="20"/>
              </w:rPr>
              <w:t>Outputs</w:t>
            </w:r>
          </w:p>
        </w:tc>
        <w:tc>
          <w:tcPr>
            <w:tcW w:type="dxa" w:w="7937"/>
          </w:tcPr>
          <w:p>
            <w:r>
              <w:rPr>
                <w:sz w:val="20"/>
              </w:rPr>
              <w:t>Heatmaps by team, location, and discipline. Trend lines with confidence bands. Drill-down to individual survey dimensions.</w:t>
            </w:r>
          </w:p>
        </w:tc>
      </w:tr>
      <w:tr>
        <w:tc>
          <w:tcPr>
            <w:tcW w:type="dxa" w:w="2268"/>
          </w:tcPr>
          <w:p>
            <w:r>
              <w:rPr>
                <w:sz w:val="20"/>
              </w:rPr>
              <w:t>Acceptance</w:t>
            </w:r>
          </w:p>
        </w:tc>
        <w:tc>
          <w:tcPr>
            <w:tcW w:type="dxa" w:w="7937"/>
          </w:tcPr>
          <w:p>
            <w:r>
              <w:rPr>
                <w:sz w:val="20"/>
              </w:rPr>
              <w:t>Import a study, render heatmaps, show trend with confidence band. Variance across disciplines is visible and drillable.</w:t>
            </w:r>
          </w:p>
        </w:tc>
      </w:tr>
    </w:tbl>
    <w:p/>
    <w:p>
      <w:r>
        <w:rPr>
          <w:b/>
        </w:rPr>
        <w:t xml:space="preserve">KPIs: </w:t>
      </w:r>
      <w:r>
        <w:t>E score, E trend, variance by org unit and discipline</w:t>
      </w:r>
    </w:p>
    <w:p>
      <w:r>
        <w:rPr>
          <w:b/>
        </w:rPr>
        <w:t xml:space="preserve">Filters: </w:t>
      </w:r>
      <w:r>
        <w:t>Team, location, discipline, survey period</w:t>
      </w:r>
    </w:p>
    <w:p>
      <w:pPr>
        <w:pStyle w:val="Heading2"/>
      </w:pPr>
      <w:r>
        <w:t>7.12 NBI Human Capital: Team Performance Analytics</w:t>
      </w:r>
    </w:p>
    <w:tbl>
      <w:tblPr>
        <w:tblStyle w:val="LightGrid-Accent1"/>
        <w:tblW w:type="auto" w:w="0"/>
        <w:jc w:val="left"/>
        <w:tblLook w:firstColumn="1" w:firstRow="1" w:lastColumn="0" w:lastRow="0" w:noHBand="0" w:noVBand="1" w:val="04A0"/>
      </w:tblPr>
      <w:tblGrid>
        <w:gridCol w:w="4320"/>
        <w:gridCol w:w="4320"/>
      </w:tblGrid>
      <w:tr>
        <w:tc>
          <w:tcPr>
            <w:tcW w:type="dxa" w:w="2268"/>
          </w:tcPr>
          <w:p>
            <w:r>
              <w:rPr>
                <w:b/>
                <w:sz w:val="20"/>
              </w:rPr>
              <w:t>Item</w:t>
            </w:r>
          </w:p>
        </w:tc>
        <w:tc>
          <w:tcPr>
            <w:tcW w:type="dxa" w:w="7937"/>
          </w:tcPr>
          <w:p>
            <w:r>
              <w:rPr>
                <w:b/>
                <w:sz w:val="20"/>
              </w:rPr>
              <w:t>Detail</w:t>
            </w:r>
          </w:p>
        </w:tc>
      </w:tr>
      <w:tr>
        <w:tc>
          <w:tcPr>
            <w:tcW w:type="dxa" w:w="2268"/>
          </w:tcPr>
          <w:p>
            <w:r>
              <w:rPr>
                <w:sz w:val="20"/>
              </w:rPr>
              <w:t>Purpose</w:t>
            </w:r>
          </w:p>
        </w:tc>
        <w:tc>
          <w:tcPr>
            <w:tcW w:type="dxa" w:w="7937"/>
          </w:tcPr>
          <w:p>
            <w:r>
              <w:rPr>
                <w:sz w:val="20"/>
              </w:rPr>
              <w:t>Track delivery health and identify teams that may need support or process intervention.</w:t>
            </w:r>
          </w:p>
        </w:tc>
      </w:tr>
      <w:tr>
        <w:tc>
          <w:tcPr>
            <w:tcW w:type="dxa" w:w="2268"/>
          </w:tcPr>
          <w:p>
            <w:r>
              <w:rPr>
                <w:sz w:val="20"/>
              </w:rPr>
              <w:t>Signals / view</w:t>
            </w:r>
          </w:p>
        </w:tc>
        <w:tc>
          <w:tcPr>
            <w:tcW w:type="dxa" w:w="7937"/>
          </w:tcPr>
          <w:p>
            <w:r>
              <w:rPr>
                <w:sz w:val="20"/>
              </w:rPr>
              <w:t>WIP age, reopen rate, blocked time, context switch index, weekend work index.</w:t>
            </w:r>
          </w:p>
        </w:tc>
      </w:tr>
      <w:tr>
        <w:tc>
          <w:tcPr>
            <w:tcW w:type="dxa" w:w="2268"/>
          </w:tcPr>
          <w:p>
            <w:r>
              <w:rPr>
                <w:sz w:val="20"/>
              </w:rPr>
              <w:t>Metrics / data</w:t>
            </w:r>
          </w:p>
        </w:tc>
        <w:tc>
          <w:tcPr>
            <w:tcW w:type="dxa" w:w="7937"/>
          </w:tcPr>
          <w:p>
            <w:r>
              <w:rPr>
                <w:sz w:val="20"/>
              </w:rPr>
              <w:t>Velocity, throughput, WIP limits, defect rate, estimation accuracy.</w:t>
            </w:r>
          </w:p>
        </w:tc>
      </w:tr>
      <w:tr>
        <w:tc>
          <w:tcPr>
            <w:tcW w:type="dxa" w:w="2268"/>
          </w:tcPr>
          <w:p>
            <w:r>
              <w:rPr>
                <w:sz w:val="20"/>
              </w:rPr>
              <w:t>Inputs</w:t>
            </w:r>
          </w:p>
        </w:tc>
        <w:tc>
          <w:tcPr>
            <w:tcW w:type="dxa" w:w="7937"/>
          </w:tcPr>
          <w:p>
            <w:r>
              <w:rPr>
                <w:sz w:val="20"/>
              </w:rPr>
              <w:t>Jira, Azure Boards, Shortcut connectors.</w:t>
            </w:r>
          </w:p>
        </w:tc>
      </w:tr>
      <w:tr>
        <w:tc>
          <w:tcPr>
            <w:tcW w:type="dxa" w:w="2268"/>
          </w:tcPr>
          <w:p>
            <w:r>
              <w:rPr>
                <w:sz w:val="20"/>
              </w:rPr>
              <w:t>Outputs</w:t>
            </w:r>
          </w:p>
        </w:tc>
        <w:tc>
          <w:tcPr>
            <w:tcW w:type="dxa" w:w="7937"/>
          </w:tcPr>
          <w:p>
            <w:r>
              <w:rPr>
                <w:sz w:val="20"/>
              </w:rPr>
              <w:t>Team health dashboard with risk badges. A team with high reopen rate shows a risk badge and a suggested runbook in The Sage.</w:t>
            </w:r>
          </w:p>
        </w:tc>
      </w:tr>
      <w:tr>
        <w:tc>
          <w:tcPr>
            <w:tcW w:type="dxa" w:w="2268"/>
          </w:tcPr>
          <w:p>
            <w:r>
              <w:rPr>
                <w:sz w:val="20"/>
              </w:rPr>
              <w:t>Acceptance</w:t>
            </w:r>
          </w:p>
        </w:tc>
        <w:tc>
          <w:tcPr>
            <w:tcW w:type="dxa" w:w="7937"/>
          </w:tcPr>
          <w:p>
            <w:r>
              <w:rPr>
                <w:sz w:val="20"/>
              </w:rPr>
              <w:t>A team with high reopen rate shows a risk badge and a suggested runbook in The Sage.</w:t>
            </w:r>
          </w:p>
        </w:tc>
      </w:tr>
    </w:tbl>
    <w:p/>
    <w:p>
      <w:r>
        <w:rPr>
          <w:b/>
        </w:rPr>
        <w:t xml:space="preserve">Filters: </w:t>
      </w:r>
      <w:r>
        <w:t>Team, sprint, project, date range</w:t>
      </w:r>
    </w:p>
    <w:p>
      <w:pPr>
        <w:pStyle w:val="Heading2"/>
      </w:pPr>
      <w:r>
        <w:t>7.13 NBI Human Capital: Burnout and Load Balance</w:t>
      </w:r>
    </w:p>
    <w:tbl>
      <w:tblPr>
        <w:tblStyle w:val="LightGrid-Accent1"/>
        <w:tblW w:type="auto" w:w="0"/>
        <w:jc w:val="left"/>
        <w:tblLook w:firstColumn="1" w:firstRow="1" w:lastColumn="0" w:lastRow="0" w:noHBand="0" w:noVBand="1" w:val="04A0"/>
      </w:tblPr>
      <w:tblGrid>
        <w:gridCol w:w="4320"/>
        <w:gridCol w:w="4320"/>
      </w:tblGrid>
      <w:tr>
        <w:tc>
          <w:tcPr>
            <w:tcW w:type="dxa" w:w="2268"/>
          </w:tcPr>
          <w:p>
            <w:r>
              <w:rPr>
                <w:b/>
                <w:sz w:val="20"/>
              </w:rPr>
              <w:t>Item</w:t>
            </w:r>
          </w:p>
        </w:tc>
        <w:tc>
          <w:tcPr>
            <w:tcW w:type="dxa" w:w="7937"/>
          </w:tcPr>
          <w:p>
            <w:r>
              <w:rPr>
                <w:b/>
                <w:sz w:val="20"/>
              </w:rPr>
              <w:t>Detail</w:t>
            </w:r>
          </w:p>
        </w:tc>
      </w:tr>
      <w:tr>
        <w:tc>
          <w:tcPr>
            <w:tcW w:type="dxa" w:w="2268"/>
          </w:tcPr>
          <w:p>
            <w:r>
              <w:rPr>
                <w:sz w:val="20"/>
              </w:rPr>
              <w:t>Purpose</w:t>
            </w:r>
          </w:p>
        </w:tc>
        <w:tc>
          <w:tcPr>
            <w:tcW w:type="dxa" w:w="7937"/>
          </w:tcPr>
          <w:p>
            <w:r>
              <w:rPr>
                <w:sz w:val="20"/>
              </w:rPr>
              <w:t>Monitor workload signals to catch burnout risk before it becomes attrition.</w:t>
            </w:r>
          </w:p>
        </w:tc>
      </w:tr>
      <w:tr>
        <w:tc>
          <w:tcPr>
            <w:tcW w:type="dxa" w:w="2268"/>
          </w:tcPr>
          <w:p>
            <w:r>
              <w:rPr>
                <w:sz w:val="20"/>
              </w:rPr>
              <w:t>Signals / view</w:t>
            </w:r>
          </w:p>
        </w:tc>
        <w:tc>
          <w:tcPr>
            <w:tcW w:type="dxa" w:w="7937"/>
          </w:tcPr>
          <w:p>
            <w:r>
              <w:rPr>
                <w:sz w:val="20"/>
              </w:rPr>
              <w:t>Meeting load, after-hours work, PTO balance, on-call rotation load index.</w:t>
            </w:r>
          </w:p>
        </w:tc>
      </w:tr>
      <w:tr>
        <w:tc>
          <w:tcPr>
            <w:tcW w:type="dxa" w:w="2268"/>
          </w:tcPr>
          <w:p>
            <w:r>
              <w:rPr>
                <w:sz w:val="20"/>
              </w:rPr>
              <w:t>Metrics / data</w:t>
            </w:r>
          </w:p>
        </w:tc>
        <w:tc>
          <w:tcPr>
            <w:tcW w:type="dxa" w:w="7937"/>
          </w:tcPr>
          <w:p>
            <w:r>
              <w:rPr>
                <w:sz w:val="20"/>
              </w:rPr>
              <w:t>Meeting hours per week, after-hours commits or messages, PTO days remaining vs accrued, on-call frequency.</w:t>
            </w:r>
          </w:p>
        </w:tc>
      </w:tr>
      <w:tr>
        <w:tc>
          <w:tcPr>
            <w:tcW w:type="dxa" w:w="2268"/>
          </w:tcPr>
          <w:p>
            <w:r>
              <w:rPr>
                <w:sz w:val="20"/>
              </w:rPr>
              <w:t>Inputs</w:t>
            </w:r>
          </w:p>
        </w:tc>
        <w:tc>
          <w:tcPr>
            <w:tcW w:type="dxa" w:w="7937"/>
          </w:tcPr>
          <w:p>
            <w:r>
              <w:rPr>
                <w:sz w:val="20"/>
              </w:rPr>
              <w:t>Calendar integration, version control activity (aggregated), HR/PTO system export.</w:t>
            </w:r>
          </w:p>
        </w:tc>
      </w:tr>
      <w:tr>
        <w:tc>
          <w:tcPr>
            <w:tcW w:type="dxa" w:w="2268"/>
          </w:tcPr>
          <w:p>
            <w:r>
              <w:rPr>
                <w:sz w:val="20"/>
              </w:rPr>
              <w:t>Outputs</w:t>
            </w:r>
          </w:p>
        </w:tc>
        <w:tc>
          <w:tcPr>
            <w:tcW w:type="dxa" w:w="7937"/>
          </w:tcPr>
          <w:p>
            <w:r>
              <w:rPr>
                <w:sz w:val="20"/>
              </w:rPr>
              <w:t>Load balance dashboard with team-level aggregates. Individual data never shown; all metrics aggregated to team level with minimum group size thresholds.</w:t>
            </w:r>
          </w:p>
        </w:tc>
      </w:tr>
      <w:tr>
        <w:tc>
          <w:tcPr>
            <w:tcW w:type="dxa" w:w="2268"/>
          </w:tcPr>
          <w:p>
            <w:r>
              <w:rPr>
                <w:sz w:val="20"/>
              </w:rPr>
              <w:t>Acceptance</w:t>
            </w:r>
          </w:p>
        </w:tc>
        <w:tc>
          <w:tcPr>
            <w:tcW w:type="dxa" w:w="7937"/>
          </w:tcPr>
          <w:p>
            <w:r>
              <w:rPr>
                <w:sz w:val="20"/>
              </w:rPr>
              <w:t>Privacy: aggregation and thresholds prevent individual exposure. Teams above threshold show a warning badge.</w:t>
            </w:r>
          </w:p>
        </w:tc>
      </w:tr>
    </w:tbl>
    <w:p/>
    <w:p>
      <w:r>
        <w:rPr>
          <w:b/>
        </w:rPr>
        <w:t xml:space="preserve">Filters: </w:t>
      </w:r>
      <w:r>
        <w:t>Team, date range</w:t>
      </w:r>
    </w:p>
    <w:p>
      <w:pPr>
        <w:pStyle w:val="Heading2"/>
      </w:pPr>
      <w:r>
        <w:t>7.14 NBI Human Capital: Skills Matrix and Staffing</w:t>
      </w:r>
    </w:p>
    <w:tbl>
      <w:tblPr>
        <w:tblStyle w:val="LightGrid-Accent1"/>
        <w:tblW w:type="auto" w:w="0"/>
        <w:jc w:val="left"/>
        <w:tblLook w:firstColumn="1" w:firstRow="1" w:lastColumn="0" w:lastRow="0" w:noHBand="0" w:noVBand="1" w:val="04A0"/>
      </w:tblPr>
      <w:tblGrid>
        <w:gridCol w:w="4320"/>
        <w:gridCol w:w="4320"/>
      </w:tblGrid>
      <w:tr>
        <w:tc>
          <w:tcPr>
            <w:tcW w:type="dxa" w:w="2268"/>
          </w:tcPr>
          <w:p>
            <w:r>
              <w:rPr>
                <w:b/>
                <w:sz w:val="20"/>
              </w:rPr>
              <w:t>Item</w:t>
            </w:r>
          </w:p>
        </w:tc>
        <w:tc>
          <w:tcPr>
            <w:tcW w:type="dxa" w:w="7937"/>
          </w:tcPr>
          <w:p>
            <w:r>
              <w:rPr>
                <w:b/>
                <w:sz w:val="20"/>
              </w:rPr>
              <w:t>Detail</w:t>
            </w:r>
          </w:p>
        </w:tc>
      </w:tr>
      <w:tr>
        <w:tc>
          <w:tcPr>
            <w:tcW w:type="dxa" w:w="2268"/>
          </w:tcPr>
          <w:p>
            <w:r>
              <w:rPr>
                <w:sz w:val="20"/>
              </w:rPr>
              <w:t>Purpose</w:t>
            </w:r>
          </w:p>
        </w:tc>
        <w:tc>
          <w:tcPr>
            <w:tcW w:type="dxa" w:w="7937"/>
          </w:tcPr>
          <w:p>
            <w:r>
              <w:rPr>
                <w:sz w:val="20"/>
              </w:rPr>
              <w:t>Map role competency coverage by team and project phase to identify gaps and succession candidates.</w:t>
            </w:r>
          </w:p>
        </w:tc>
      </w:tr>
      <w:tr>
        <w:tc>
          <w:tcPr>
            <w:tcW w:type="dxa" w:w="2268"/>
          </w:tcPr>
          <w:p>
            <w:r>
              <w:rPr>
                <w:sz w:val="20"/>
              </w:rPr>
              <w:t>Signals / view</w:t>
            </w:r>
          </w:p>
        </w:tc>
        <w:tc>
          <w:tcPr>
            <w:tcW w:type="dxa" w:w="7937"/>
          </w:tcPr>
          <w:p>
            <w:r>
              <w:rPr>
                <w:sz w:val="20"/>
              </w:rPr>
              <w:t>Role competency coverage grid by team and project phase.</w:t>
            </w:r>
          </w:p>
        </w:tc>
      </w:tr>
      <w:tr>
        <w:tc>
          <w:tcPr>
            <w:tcW w:type="dxa" w:w="2268"/>
          </w:tcPr>
          <w:p>
            <w:r>
              <w:rPr>
                <w:sz w:val="20"/>
              </w:rPr>
              <w:t>Metrics / data</w:t>
            </w:r>
          </w:p>
        </w:tc>
        <w:tc>
          <w:tcPr>
            <w:tcW w:type="dxa" w:w="7937"/>
          </w:tcPr>
          <w:p>
            <w:r>
              <w:rPr>
                <w:sz w:val="20"/>
              </w:rPr>
              <w:t>Competency levels (1 to 5) by role and skill. Coverage gaps per team. Succession candidate mapping. Cross-training suggestions.</w:t>
            </w:r>
          </w:p>
        </w:tc>
      </w:tr>
      <w:tr>
        <w:tc>
          <w:tcPr>
            <w:tcW w:type="dxa" w:w="2268"/>
          </w:tcPr>
          <w:p>
            <w:r>
              <w:rPr>
                <w:sz w:val="20"/>
              </w:rPr>
              <w:t>Inputs</w:t>
            </w:r>
          </w:p>
        </w:tc>
        <w:tc>
          <w:tcPr>
            <w:tcW w:type="dxa" w:w="7937"/>
          </w:tcPr>
          <w:p>
            <w:r>
              <w:rPr>
                <w:sz w:val="20"/>
              </w:rPr>
              <w:t>Manager assessments, self-assessments, HR system data.</w:t>
            </w:r>
          </w:p>
        </w:tc>
      </w:tr>
      <w:tr>
        <w:tc>
          <w:tcPr>
            <w:tcW w:type="dxa" w:w="2268"/>
          </w:tcPr>
          <w:p>
            <w:r>
              <w:rPr>
                <w:sz w:val="20"/>
              </w:rPr>
              <w:t>Outputs</w:t>
            </w:r>
          </w:p>
        </w:tc>
        <w:tc>
          <w:tcPr>
            <w:tcW w:type="dxa" w:w="7937"/>
          </w:tcPr>
          <w:p>
            <w:r>
              <w:rPr>
                <w:sz w:val="20"/>
              </w:rPr>
              <w:t>Coverage gap report, succession candidates list, cross-training suggestions. Export to CSV and PNG.</w:t>
            </w:r>
          </w:p>
        </w:tc>
      </w:tr>
      <w:tr>
        <w:tc>
          <w:tcPr>
            <w:tcW w:type="dxa" w:w="2268"/>
          </w:tcPr>
          <w:p>
            <w:r>
              <w:rPr>
                <w:sz w:val="20"/>
              </w:rPr>
              <w:t>Acceptance</w:t>
            </w:r>
          </w:p>
        </w:tc>
        <w:tc>
          <w:tcPr>
            <w:tcW w:type="dxa" w:w="7937"/>
          </w:tcPr>
          <w:p>
            <w:r>
              <w:rPr>
                <w:sz w:val="20"/>
              </w:rPr>
              <w:t>Gap flags shown when coverage below threshold.</w:t>
            </w:r>
          </w:p>
        </w:tc>
      </w:tr>
    </w:tbl>
    <w:p/>
    <w:p>
      <w:r>
        <w:rPr>
          <w:b/>
        </w:rPr>
        <w:t xml:space="preserve">Filters: </w:t>
      </w:r>
      <w:r>
        <w:t>Team, role, competency, project phase</w:t>
      </w:r>
    </w:p>
    <w:p>
      <w:pPr>
        <w:pStyle w:val="Heading2"/>
      </w:pPr>
      <w:r>
        <w:t>7.15 NBI Human Capital: Hiring Forecast and Workforce Planning</w:t>
      </w:r>
    </w:p>
    <w:tbl>
      <w:tblPr>
        <w:tblStyle w:val="LightGrid-Accent1"/>
        <w:tblW w:type="auto" w:w="0"/>
        <w:jc w:val="left"/>
        <w:tblLook w:firstColumn="1" w:firstRow="1" w:lastColumn="0" w:lastRow="0" w:noHBand="0" w:noVBand="1" w:val="04A0"/>
      </w:tblPr>
      <w:tblGrid>
        <w:gridCol w:w="4320"/>
        <w:gridCol w:w="4320"/>
      </w:tblGrid>
      <w:tr>
        <w:tc>
          <w:tcPr>
            <w:tcW w:type="dxa" w:w="2268"/>
          </w:tcPr>
          <w:p>
            <w:r>
              <w:rPr>
                <w:b/>
                <w:sz w:val="20"/>
              </w:rPr>
              <w:t>Item</w:t>
            </w:r>
          </w:p>
        </w:tc>
        <w:tc>
          <w:tcPr>
            <w:tcW w:type="dxa" w:w="7937"/>
          </w:tcPr>
          <w:p>
            <w:r>
              <w:rPr>
                <w:b/>
                <w:sz w:val="20"/>
              </w:rPr>
              <w:t>Detail</w:t>
            </w:r>
          </w:p>
        </w:tc>
      </w:tr>
      <w:tr>
        <w:tc>
          <w:tcPr>
            <w:tcW w:type="dxa" w:w="2268"/>
          </w:tcPr>
          <w:p>
            <w:r>
              <w:rPr>
                <w:sz w:val="20"/>
              </w:rPr>
              <w:t>Purpose</w:t>
            </w:r>
          </w:p>
        </w:tc>
        <w:tc>
          <w:tcPr>
            <w:tcW w:type="dxa" w:w="7937"/>
          </w:tcPr>
          <w:p>
            <w:r>
              <w:rPr>
                <w:sz w:val="20"/>
              </w:rPr>
              <w:t>Forecast headcount needs and track hiring funnel health.</w:t>
            </w:r>
          </w:p>
        </w:tc>
      </w:tr>
      <w:tr>
        <w:tc>
          <w:tcPr>
            <w:tcW w:type="dxa" w:w="2268"/>
          </w:tcPr>
          <w:p>
            <w:r>
              <w:rPr>
                <w:sz w:val="20"/>
              </w:rPr>
              <w:t>Signals / view</w:t>
            </w:r>
          </w:p>
        </w:tc>
        <w:tc>
          <w:tcPr>
            <w:tcW w:type="dxa" w:w="7937"/>
          </w:tcPr>
          <w:p>
            <w:r>
              <w:rPr>
                <w:sz w:val="20"/>
              </w:rPr>
              <w:t>Time to fill forecast, pipeline conversion by stage, offer acceptance rate, cost per hire.</w:t>
            </w:r>
          </w:p>
        </w:tc>
      </w:tr>
      <w:tr>
        <w:tc>
          <w:tcPr>
            <w:tcW w:type="dxa" w:w="2268"/>
          </w:tcPr>
          <w:p>
            <w:r>
              <w:rPr>
                <w:sz w:val="20"/>
              </w:rPr>
              <w:t>Metrics / data</w:t>
            </w:r>
          </w:p>
        </w:tc>
        <w:tc>
          <w:tcPr>
            <w:tcW w:type="dxa" w:w="7937"/>
          </w:tcPr>
          <w:p>
            <w:r>
              <w:rPr>
                <w:sz w:val="20"/>
              </w:rPr>
              <w:t>Headcount plan by role and quarter. Pipeline stage counts and conversion rates. Time in stage. Cost per hire.</w:t>
            </w:r>
          </w:p>
        </w:tc>
      </w:tr>
      <w:tr>
        <w:tc>
          <w:tcPr>
            <w:tcW w:type="dxa" w:w="2268"/>
          </w:tcPr>
          <w:p>
            <w:r>
              <w:rPr>
                <w:sz w:val="20"/>
              </w:rPr>
              <w:t>Inputs</w:t>
            </w:r>
          </w:p>
        </w:tc>
        <w:tc>
          <w:tcPr>
            <w:tcW w:type="dxa" w:w="7937"/>
          </w:tcPr>
          <w:p>
            <w:r>
              <w:rPr>
                <w:sz w:val="20"/>
              </w:rPr>
              <w:t>ATS connectors or CSV import. Headcount plan from HR.</w:t>
            </w:r>
          </w:p>
        </w:tc>
      </w:tr>
      <w:tr>
        <w:tc>
          <w:tcPr>
            <w:tcW w:type="dxa" w:w="2268"/>
          </w:tcPr>
          <w:p>
            <w:r>
              <w:rPr>
                <w:sz w:val="20"/>
              </w:rPr>
              <w:t>Outputs</w:t>
            </w:r>
          </w:p>
        </w:tc>
        <w:tc>
          <w:tcPr>
            <w:tcW w:type="dxa" w:w="7937"/>
          </w:tcPr>
          <w:p>
            <w:r>
              <w:rPr>
                <w:sz w:val="20"/>
              </w:rPr>
              <w:t>Scenario table with headcount options tied to roadmap milestones and affordability vs forecast EBITDA and cash runway. Finance integration for affordability checks.</w:t>
            </w:r>
          </w:p>
        </w:tc>
      </w:tr>
      <w:tr>
        <w:tc>
          <w:tcPr>
            <w:tcW w:type="dxa" w:w="2268"/>
          </w:tcPr>
          <w:p>
            <w:r>
              <w:rPr>
                <w:sz w:val="20"/>
              </w:rPr>
              <w:t>Acceptance</w:t>
            </w:r>
          </w:p>
        </w:tc>
        <w:tc>
          <w:tcPr>
            <w:tcW w:type="dxa" w:w="7937"/>
          </w:tcPr>
          <w:p>
            <w:r>
              <w:rPr>
                <w:sz w:val="20"/>
              </w:rPr>
              <w:t>Headcount scenario ties to roadmap milestones with affordability vs EBITDA. Scenario pivot under 1 second on demo data.</w:t>
            </w:r>
          </w:p>
        </w:tc>
      </w:tr>
    </w:tbl>
    <w:p/>
    <w:p>
      <w:r>
        <w:rPr>
          <w:b/>
        </w:rPr>
        <w:t xml:space="preserve">Filters: </w:t>
      </w:r>
      <w:r>
        <w:t>Team, role, location, quarter</w:t>
      </w:r>
    </w:p>
    <w:p>
      <w:pPr>
        <w:pStyle w:val="Heading2"/>
      </w:pPr>
      <w:r>
        <w:t>7.16 NBI Human Capital: Compensation and Affordability</w:t>
      </w:r>
    </w:p>
    <w:tbl>
      <w:tblPr>
        <w:tblStyle w:val="LightGrid-Accent1"/>
        <w:tblW w:type="auto" w:w="0"/>
        <w:jc w:val="left"/>
        <w:tblLook w:firstColumn="1" w:firstRow="1" w:lastColumn="0" w:lastRow="0" w:noHBand="0" w:noVBand="1" w:val="04A0"/>
      </w:tblPr>
      <w:tblGrid>
        <w:gridCol w:w="4320"/>
        <w:gridCol w:w="4320"/>
      </w:tblGrid>
      <w:tr>
        <w:tc>
          <w:tcPr>
            <w:tcW w:type="dxa" w:w="2268"/>
          </w:tcPr>
          <w:p>
            <w:r>
              <w:rPr>
                <w:b/>
                <w:sz w:val="20"/>
              </w:rPr>
              <w:t>Item</w:t>
            </w:r>
          </w:p>
        </w:tc>
        <w:tc>
          <w:tcPr>
            <w:tcW w:type="dxa" w:w="7937"/>
          </w:tcPr>
          <w:p>
            <w:r>
              <w:rPr>
                <w:b/>
                <w:sz w:val="20"/>
              </w:rPr>
              <w:t>Detail</w:t>
            </w:r>
          </w:p>
        </w:tc>
      </w:tr>
      <w:tr>
        <w:tc>
          <w:tcPr>
            <w:tcW w:type="dxa" w:w="2268"/>
          </w:tcPr>
          <w:p>
            <w:r>
              <w:rPr>
                <w:sz w:val="20"/>
              </w:rPr>
              <w:t>Purpose</w:t>
            </w:r>
          </w:p>
        </w:tc>
        <w:tc>
          <w:tcPr>
            <w:tcW w:type="dxa" w:w="7937"/>
          </w:tcPr>
          <w:p>
            <w:r>
              <w:rPr>
                <w:sz w:val="20"/>
              </w:rPr>
              <w:t>Benchmark salaries by role, grade, and location. Check offer affordability against forecast EBITDA and cash runway.</w:t>
            </w:r>
          </w:p>
        </w:tc>
      </w:tr>
      <w:tr>
        <w:tc>
          <w:tcPr>
            <w:tcW w:type="dxa" w:w="2268"/>
          </w:tcPr>
          <w:p>
            <w:r>
              <w:rPr>
                <w:sz w:val="20"/>
              </w:rPr>
              <w:t>Signals / view</w:t>
            </w:r>
          </w:p>
        </w:tc>
        <w:tc>
          <w:tcPr>
            <w:tcW w:type="dxa" w:w="7937"/>
          </w:tcPr>
          <w:p>
            <w:r>
              <w:rPr>
                <w:sz w:val="20"/>
              </w:rPr>
              <w:t>Competitive salary ranges by role and location (P25, P50, P75). Offer affordability check against forecast financial position.</w:t>
            </w:r>
          </w:p>
        </w:tc>
      </w:tr>
      <w:tr>
        <w:tc>
          <w:tcPr>
            <w:tcW w:type="dxa" w:w="2268"/>
          </w:tcPr>
          <w:p>
            <w:r>
              <w:rPr>
                <w:sz w:val="20"/>
              </w:rPr>
              <w:t>Metrics / data</w:t>
            </w:r>
          </w:p>
        </w:tc>
        <w:tc>
          <w:tcPr>
            <w:tcW w:type="dxa" w:w="7937"/>
          </w:tcPr>
          <w:p>
            <w:r>
              <w:rPr>
                <w:sz w:val="20"/>
              </w:rPr>
              <w:t>Compensation benchmarks: 25th, 50th, and 75th percentile salary by role, location, and grade. Internal salary distribution vs market. Offer affordability ratio vs EBITDA and cash runway.</w:t>
            </w:r>
          </w:p>
        </w:tc>
      </w:tr>
      <w:tr>
        <w:tc>
          <w:tcPr>
            <w:tcW w:type="dxa" w:w="2268"/>
          </w:tcPr>
          <w:p>
            <w:r>
              <w:rPr>
                <w:sz w:val="20"/>
              </w:rPr>
              <w:t>Inputs</w:t>
            </w:r>
          </w:p>
        </w:tc>
        <w:tc>
          <w:tcPr>
            <w:tcW w:type="dxa" w:w="7937"/>
          </w:tcPr>
          <w:p>
            <w:r>
              <w:rPr>
                <w:sz w:val="20"/>
              </w:rPr>
              <w:t>Third-party compensation data (Glassdoor, Levels.fyi, Payscale, or licensed benchmarks). Internal salary data from HR export.</w:t>
            </w:r>
          </w:p>
        </w:tc>
      </w:tr>
      <w:tr>
        <w:tc>
          <w:tcPr>
            <w:tcW w:type="dxa" w:w="2268"/>
          </w:tcPr>
          <w:p>
            <w:r>
              <w:rPr>
                <w:sz w:val="20"/>
              </w:rPr>
              <w:t>Outputs</w:t>
            </w:r>
          </w:p>
        </w:tc>
        <w:tc>
          <w:tcPr>
            <w:tcW w:type="dxa" w:w="7937"/>
          </w:tcPr>
          <w:p>
            <w:r>
              <w:rPr>
                <w:sz w:val="20"/>
              </w:rPr>
              <w:t>Salary benchmark dashboard by role, grade, and location. Offer affordability calculator showing whether a proposed compensation package is sustainable given the studio’s financial forecast. Alerts when internal salaries fall outside competitive range.</w:t>
            </w:r>
          </w:p>
        </w:tc>
      </w:tr>
      <w:tr>
        <w:tc>
          <w:tcPr>
            <w:tcW w:type="dxa" w:w="2268"/>
          </w:tcPr>
          <w:p>
            <w:r>
              <w:rPr>
                <w:sz w:val="20"/>
              </w:rPr>
              <w:t>Acceptance</w:t>
            </w:r>
          </w:p>
        </w:tc>
        <w:tc>
          <w:tcPr>
            <w:tcW w:type="dxa" w:w="7937"/>
          </w:tcPr>
          <w:p>
            <w:r>
              <w:rPr>
                <w:sz w:val="20"/>
              </w:rPr>
              <w:t>Select a role and location, see P25/P50/P75 benchmarks. Enter a proposed offer, see affordability check against forecast EBITDA. Flag when internal compensation falls outside competitive bands.</w:t>
            </w:r>
          </w:p>
        </w:tc>
      </w:tr>
    </w:tbl>
    <w:p/>
    <w:p>
      <w:r>
        <w:rPr>
          <w:b/>
        </w:rPr>
        <w:t xml:space="preserve">KPIs: </w:t>
      </w:r>
      <w:r>
        <w:t>P25/P50/P75 salary by role and location, affordability ratio, internal vs market delta</w:t>
      </w:r>
    </w:p>
    <w:p>
      <w:r>
        <w:rPr>
          <w:b/>
        </w:rPr>
        <w:t xml:space="preserve">Filters: </w:t>
      </w:r>
      <w:r>
        <w:t>Role, grade, location, department</w:t>
      </w:r>
    </w:p>
    <w:p>
      <w:pPr>
        <w:pStyle w:val="Heading2"/>
      </w:pPr>
      <w:r>
        <w:t>7.17 NBI Human Capital: Change Telemetry and Adoption</w:t>
      </w:r>
    </w:p>
    <w:tbl>
      <w:tblPr>
        <w:tblStyle w:val="LightGrid-Accent1"/>
        <w:tblW w:type="auto" w:w="0"/>
        <w:jc w:val="left"/>
        <w:tblLook w:firstColumn="1" w:firstRow="1" w:lastColumn="0" w:lastRow="0" w:noHBand="0" w:noVBand="1" w:val="04A0"/>
      </w:tblPr>
      <w:tblGrid>
        <w:gridCol w:w="4320"/>
        <w:gridCol w:w="4320"/>
      </w:tblGrid>
      <w:tr>
        <w:tc>
          <w:tcPr>
            <w:tcW w:type="dxa" w:w="2268"/>
          </w:tcPr>
          <w:p>
            <w:r>
              <w:rPr>
                <w:b/>
                <w:sz w:val="20"/>
              </w:rPr>
              <w:t>Item</w:t>
            </w:r>
          </w:p>
        </w:tc>
        <w:tc>
          <w:tcPr>
            <w:tcW w:type="dxa" w:w="7937"/>
          </w:tcPr>
          <w:p>
            <w:r>
              <w:rPr>
                <w:b/>
                <w:sz w:val="20"/>
              </w:rPr>
              <w:t>Detail</w:t>
            </w:r>
          </w:p>
        </w:tc>
      </w:tr>
      <w:tr>
        <w:tc>
          <w:tcPr>
            <w:tcW w:type="dxa" w:w="2268"/>
          </w:tcPr>
          <w:p>
            <w:r>
              <w:rPr>
                <w:sz w:val="20"/>
              </w:rPr>
              <w:t>Purpose</w:t>
            </w:r>
          </w:p>
        </w:tc>
        <w:tc>
          <w:tcPr>
            <w:tcW w:type="dxa" w:w="7937"/>
          </w:tcPr>
          <w:p>
            <w:r>
              <w:rPr>
                <w:sz w:val="20"/>
              </w:rPr>
              <w:t>Track adoption of internal tools, processes, and training programmes.</w:t>
            </w:r>
          </w:p>
        </w:tc>
      </w:tr>
      <w:tr>
        <w:tc>
          <w:tcPr>
            <w:tcW w:type="dxa" w:w="2268"/>
          </w:tcPr>
          <w:p>
            <w:r>
              <w:rPr>
                <w:sz w:val="20"/>
              </w:rPr>
              <w:t>Signals / view</w:t>
            </w:r>
          </w:p>
        </w:tc>
        <w:tc>
          <w:tcPr>
            <w:tcW w:type="dxa" w:w="7937"/>
          </w:tcPr>
          <w:p>
            <w:r>
              <w:rPr>
                <w:sz w:val="20"/>
              </w:rPr>
              <w:t>Feature rollout reach and usage for internal tools. Training completion and proficiency curves.</w:t>
            </w:r>
          </w:p>
        </w:tc>
      </w:tr>
      <w:tr>
        <w:tc>
          <w:tcPr>
            <w:tcW w:type="dxa" w:w="2268"/>
          </w:tcPr>
          <w:p>
            <w:r>
              <w:rPr>
                <w:sz w:val="20"/>
              </w:rPr>
              <w:t>Metrics / data</w:t>
            </w:r>
          </w:p>
        </w:tc>
        <w:tc>
          <w:tcPr>
            <w:tcW w:type="dxa" w:w="7937"/>
          </w:tcPr>
          <w:p>
            <w:r>
              <w:rPr>
                <w:sz w:val="20"/>
              </w:rPr>
              <w:t>Daily active users, WAU, training completion percentage, proficiency assessment scores.</w:t>
            </w:r>
          </w:p>
        </w:tc>
      </w:tr>
      <w:tr>
        <w:tc>
          <w:tcPr>
            <w:tcW w:type="dxa" w:w="2268"/>
          </w:tcPr>
          <w:p>
            <w:r>
              <w:rPr>
                <w:sz w:val="20"/>
              </w:rPr>
              <w:t>Inputs</w:t>
            </w:r>
          </w:p>
        </w:tc>
        <w:tc>
          <w:tcPr>
            <w:tcW w:type="dxa" w:w="7937"/>
          </w:tcPr>
          <w:p>
            <w:r>
              <w:rPr>
                <w:sz w:val="20"/>
              </w:rPr>
              <w:t>Product analytics from internal tools, LMS exports.</w:t>
            </w:r>
          </w:p>
        </w:tc>
      </w:tr>
      <w:tr>
        <w:tc>
          <w:tcPr>
            <w:tcW w:type="dxa" w:w="2268"/>
          </w:tcPr>
          <w:p>
            <w:r>
              <w:rPr>
                <w:sz w:val="20"/>
              </w:rPr>
              <w:t>Outputs</w:t>
            </w:r>
          </w:p>
        </w:tc>
        <w:tc>
          <w:tcPr>
            <w:tcW w:type="dxa" w:w="7937"/>
          </w:tcPr>
          <w:p>
            <w:r>
              <w:rPr>
                <w:sz w:val="20"/>
              </w:rPr>
              <w:t>Adoption curves by tool and team. Training reach and proficiency dashboards. Alert on low adoption.</w:t>
            </w:r>
          </w:p>
        </w:tc>
      </w:tr>
      <w:tr>
        <w:tc>
          <w:tcPr>
            <w:tcW w:type="dxa" w:w="2268"/>
          </w:tcPr>
          <w:p>
            <w:r>
              <w:rPr>
                <w:sz w:val="20"/>
              </w:rPr>
              <w:t>Acceptance</w:t>
            </w:r>
          </w:p>
        </w:tc>
        <w:tc>
          <w:tcPr>
            <w:tcW w:type="dxa" w:w="7937"/>
          </w:tcPr>
          <w:p>
            <w:r>
              <w:rPr>
                <w:sz w:val="20"/>
              </w:rPr>
              <w:t>Privacy rules apply. Daily refresh under 10 minutes. Export to CSV and PNG.</w:t>
            </w:r>
          </w:p>
        </w:tc>
      </w:tr>
    </w:tbl>
    <w:p/>
    <w:p>
      <w:r>
        <w:rPr>
          <w:b/>
        </w:rPr>
        <w:t xml:space="preserve">Filters: </w:t>
      </w:r>
      <w:r>
        <w:t>Tool, team, date range</w:t>
      </w:r>
    </w:p>
    <w:p>
      <w:pPr>
        <w:pStyle w:val="Heading2"/>
      </w:pPr>
      <w:r>
        <w:t>7.18 NBI Human Capital: Coaching Impact</w:t>
      </w:r>
    </w:p>
    <w:tbl>
      <w:tblPr>
        <w:tblStyle w:val="LightGrid-Accent1"/>
        <w:tblW w:type="auto" w:w="0"/>
        <w:jc w:val="left"/>
        <w:tblLook w:firstColumn="1" w:firstRow="1" w:lastColumn="0" w:lastRow="0" w:noHBand="0" w:noVBand="1" w:val="04A0"/>
      </w:tblPr>
      <w:tblGrid>
        <w:gridCol w:w="4320"/>
        <w:gridCol w:w="4320"/>
      </w:tblGrid>
      <w:tr>
        <w:tc>
          <w:tcPr>
            <w:tcW w:type="dxa" w:w="2268"/>
          </w:tcPr>
          <w:p>
            <w:r>
              <w:rPr>
                <w:b/>
                <w:sz w:val="20"/>
              </w:rPr>
              <w:t>Item</w:t>
            </w:r>
          </w:p>
        </w:tc>
        <w:tc>
          <w:tcPr>
            <w:tcW w:type="dxa" w:w="7937"/>
          </w:tcPr>
          <w:p>
            <w:r>
              <w:rPr>
                <w:b/>
                <w:sz w:val="20"/>
              </w:rPr>
              <w:t>Detail</w:t>
            </w:r>
          </w:p>
        </w:tc>
      </w:tr>
      <w:tr>
        <w:tc>
          <w:tcPr>
            <w:tcW w:type="dxa" w:w="2268"/>
          </w:tcPr>
          <w:p>
            <w:r>
              <w:rPr>
                <w:sz w:val="20"/>
              </w:rPr>
              <w:t>Purpose</w:t>
            </w:r>
          </w:p>
        </w:tc>
        <w:tc>
          <w:tcPr>
            <w:tcW w:type="dxa" w:w="7937"/>
          </w:tcPr>
          <w:p>
            <w:r>
              <w:rPr>
                <w:sz w:val="20"/>
              </w:rPr>
              <w:t>Measure the effectiveness of coaching and management interventions.</w:t>
            </w:r>
          </w:p>
        </w:tc>
      </w:tr>
      <w:tr>
        <w:tc>
          <w:tcPr>
            <w:tcW w:type="dxa" w:w="2268"/>
          </w:tcPr>
          <w:p>
            <w:r>
              <w:rPr>
                <w:sz w:val="20"/>
              </w:rPr>
              <w:t>Signals / view</w:t>
            </w:r>
          </w:p>
        </w:tc>
        <w:tc>
          <w:tcPr>
            <w:tcW w:type="dxa" w:w="7937"/>
          </w:tcPr>
          <w:p>
            <w:r>
              <w:rPr>
                <w:sz w:val="20"/>
              </w:rPr>
              <w:t>Baseline versus post-coaching outcomes on targeted teams.</w:t>
            </w:r>
          </w:p>
        </w:tc>
      </w:tr>
      <w:tr>
        <w:tc>
          <w:tcPr>
            <w:tcW w:type="dxa" w:w="2268"/>
          </w:tcPr>
          <w:p>
            <w:r>
              <w:rPr>
                <w:sz w:val="20"/>
              </w:rPr>
              <w:t>Metrics / data</w:t>
            </w:r>
          </w:p>
        </w:tc>
        <w:tc>
          <w:tcPr>
            <w:tcW w:type="dxa" w:w="7937"/>
          </w:tcPr>
          <w:p>
            <w:r>
              <w:rPr>
                <w:sz w:val="20"/>
              </w:rPr>
              <w:t>Pre-period and post-period values for target metrics. Uplift percentage. Attribution to specific coaching routines and behaviours.</w:t>
            </w:r>
          </w:p>
        </w:tc>
      </w:tr>
      <w:tr>
        <w:tc>
          <w:tcPr>
            <w:tcW w:type="dxa" w:w="2268"/>
          </w:tcPr>
          <w:p>
            <w:r>
              <w:rPr>
                <w:sz w:val="20"/>
              </w:rPr>
              <w:t>Inputs</w:t>
            </w:r>
          </w:p>
        </w:tc>
        <w:tc>
          <w:tcPr>
            <w:tcW w:type="dxa" w:w="7937"/>
          </w:tcPr>
          <w:p>
            <w:r>
              <w:rPr>
                <w:sz w:val="20"/>
              </w:rPr>
              <w:t>Performance data from Team Performance module. Coaching programme metadata from HR.</w:t>
            </w:r>
          </w:p>
        </w:tc>
      </w:tr>
      <w:tr>
        <w:tc>
          <w:tcPr>
            <w:tcW w:type="dxa" w:w="2268"/>
          </w:tcPr>
          <w:p>
            <w:r>
              <w:rPr>
                <w:sz w:val="20"/>
              </w:rPr>
              <w:t>Outputs</w:t>
            </w:r>
          </w:p>
        </w:tc>
        <w:tc>
          <w:tcPr>
            <w:tcW w:type="dxa" w:w="7937"/>
          </w:tcPr>
          <w:p>
            <w:r>
              <w:rPr>
                <w:sz w:val="20"/>
              </w:rPr>
              <w:t>Uplift attribution report showing which coaching interventions produced measurable improvement. Before/after comparison with statistical significance indicator.</w:t>
            </w:r>
          </w:p>
        </w:tc>
      </w:tr>
      <w:tr>
        <w:tc>
          <w:tcPr>
            <w:tcW w:type="dxa" w:w="2268"/>
          </w:tcPr>
          <w:p>
            <w:r>
              <w:rPr>
                <w:sz w:val="20"/>
              </w:rPr>
              <w:t>Acceptance</w:t>
            </w:r>
          </w:p>
        </w:tc>
        <w:tc>
          <w:tcPr>
            <w:tcW w:type="dxa" w:w="7937"/>
          </w:tcPr>
          <w:p>
            <w:r>
              <w:rPr>
                <w:sz w:val="20"/>
              </w:rPr>
              <w:t>Select a coaching programme and target metric, see baseline vs post-coaching values with uplift percentage.</w:t>
            </w:r>
          </w:p>
        </w:tc>
      </w:tr>
    </w:tbl>
    <w:p/>
    <w:p>
      <w:r>
        <w:rPr>
          <w:b/>
        </w:rPr>
        <w:t xml:space="preserve">Filters: </w:t>
      </w:r>
      <w:r>
        <w:t>Team, coaching programme, metric, date range</w:t>
      </w:r>
    </w:p>
    <w:p>
      <w:pPr>
        <w:pStyle w:val="Heading2"/>
      </w:pPr>
      <w:r>
        <w:t>7.19 NBI Human Capital: Studio Scorecards and OKRs</w:t>
      </w:r>
    </w:p>
    <w:tbl>
      <w:tblPr>
        <w:tblStyle w:val="LightGrid-Accent1"/>
        <w:tblW w:type="auto" w:w="0"/>
        <w:jc w:val="left"/>
        <w:tblLook w:firstColumn="1" w:firstRow="1" w:lastColumn="0" w:lastRow="0" w:noHBand="0" w:noVBand="1" w:val="04A0"/>
      </w:tblPr>
      <w:tblGrid>
        <w:gridCol w:w="4320"/>
        <w:gridCol w:w="4320"/>
      </w:tblGrid>
      <w:tr>
        <w:tc>
          <w:tcPr>
            <w:tcW w:type="dxa" w:w="2268"/>
          </w:tcPr>
          <w:p>
            <w:r>
              <w:rPr>
                <w:b/>
                <w:sz w:val="20"/>
              </w:rPr>
              <w:t>Item</w:t>
            </w:r>
          </w:p>
        </w:tc>
        <w:tc>
          <w:tcPr>
            <w:tcW w:type="dxa" w:w="7937"/>
          </w:tcPr>
          <w:p>
            <w:r>
              <w:rPr>
                <w:b/>
                <w:sz w:val="20"/>
              </w:rPr>
              <w:t>Detail</w:t>
            </w:r>
          </w:p>
        </w:tc>
      </w:tr>
      <w:tr>
        <w:tc>
          <w:tcPr>
            <w:tcW w:type="dxa" w:w="2268"/>
          </w:tcPr>
          <w:p>
            <w:r>
              <w:rPr>
                <w:sz w:val="20"/>
              </w:rPr>
              <w:t>Purpose</w:t>
            </w:r>
          </w:p>
        </w:tc>
        <w:tc>
          <w:tcPr>
            <w:tcW w:type="dxa" w:w="7937"/>
          </w:tcPr>
          <w:p>
            <w:r>
              <w:rPr>
                <w:sz w:val="20"/>
              </w:rPr>
              <w:t>Track studio-level objectives and key results with health status.</w:t>
            </w:r>
          </w:p>
        </w:tc>
      </w:tr>
      <w:tr>
        <w:tc>
          <w:tcPr>
            <w:tcW w:type="dxa" w:w="2268"/>
          </w:tcPr>
          <w:p>
            <w:r>
              <w:rPr>
                <w:sz w:val="20"/>
              </w:rPr>
              <w:t>Signals / view</w:t>
            </w:r>
          </w:p>
        </w:tc>
        <w:tc>
          <w:tcPr>
            <w:tcW w:type="dxa" w:w="7937"/>
          </w:tcPr>
          <w:p>
            <w:r>
              <w:rPr>
                <w:sz w:val="20"/>
              </w:rPr>
              <w:t>Quarterly scorecards with green, yellow, red thresholds.</w:t>
            </w:r>
          </w:p>
        </w:tc>
      </w:tr>
      <w:tr>
        <w:tc>
          <w:tcPr>
            <w:tcW w:type="dxa" w:w="2268"/>
          </w:tcPr>
          <w:p>
            <w:r>
              <w:rPr>
                <w:sz w:val="20"/>
              </w:rPr>
              <w:t>Metrics / data</w:t>
            </w:r>
          </w:p>
        </w:tc>
        <w:tc>
          <w:tcPr>
            <w:tcW w:type="dxa" w:w="7937"/>
          </w:tcPr>
          <w:p>
            <w:r>
              <w:rPr>
                <w:sz w:val="20"/>
              </w:rPr>
              <w:t>OKR completion percentage. Alignment matrix showing which objectives support which key results. Dependency risk flags between teams.</w:t>
            </w:r>
          </w:p>
        </w:tc>
      </w:tr>
      <w:tr>
        <w:tc>
          <w:tcPr>
            <w:tcW w:type="dxa" w:w="2268"/>
          </w:tcPr>
          <w:p>
            <w:r>
              <w:rPr>
                <w:sz w:val="20"/>
              </w:rPr>
              <w:t>Inputs</w:t>
            </w:r>
          </w:p>
        </w:tc>
        <w:tc>
          <w:tcPr>
            <w:tcW w:type="dxa" w:w="7937"/>
          </w:tcPr>
          <w:p>
            <w:r>
              <w:rPr>
                <w:sz w:val="20"/>
              </w:rPr>
              <w:t>OKR data from project management tools or direct entry.</w:t>
            </w:r>
          </w:p>
        </w:tc>
      </w:tr>
      <w:tr>
        <w:tc>
          <w:tcPr>
            <w:tcW w:type="dxa" w:w="2268"/>
          </w:tcPr>
          <w:p>
            <w:r>
              <w:rPr>
                <w:sz w:val="20"/>
              </w:rPr>
              <w:t>Outputs</w:t>
            </w:r>
          </w:p>
        </w:tc>
        <w:tc>
          <w:tcPr>
            <w:tcW w:type="dxa" w:w="7937"/>
          </w:tcPr>
          <w:p>
            <w:r>
              <w:rPr>
                <w:sz w:val="20"/>
              </w:rPr>
              <w:t>Scorecard view per team and studio. OKR alignment and dependency risk flags. Historical trend of OKR completion.</w:t>
            </w:r>
          </w:p>
        </w:tc>
      </w:tr>
      <w:tr>
        <w:tc>
          <w:tcPr>
            <w:tcW w:type="dxa" w:w="2268"/>
          </w:tcPr>
          <w:p>
            <w:r>
              <w:rPr>
                <w:sz w:val="20"/>
              </w:rPr>
              <w:t>Acceptance</w:t>
            </w:r>
          </w:p>
        </w:tc>
        <w:tc>
          <w:tcPr>
            <w:tcW w:type="dxa" w:w="7937"/>
          </w:tcPr>
          <w:p>
            <w:r>
              <w:rPr>
                <w:sz w:val="20"/>
              </w:rPr>
              <w:t>OKR alignment and dependency risk flags are visible. Scorecards render with colour-coded health status.</w:t>
            </w:r>
          </w:p>
        </w:tc>
      </w:tr>
    </w:tbl>
    <w:p/>
    <w:p>
      <w:r>
        <w:rPr>
          <w:b/>
        </w:rPr>
        <w:t xml:space="preserve">Filters: </w:t>
      </w:r>
      <w:r>
        <w:t>Team, quarter, objective owner</w:t>
      </w:r>
    </w:p>
    <w:p>
      <w:pPr>
        <w:pStyle w:val="Heading2"/>
      </w:pPr>
      <w:r>
        <w:t>7.20 NBI Human Capital: Risk Register and Early Warning</w:t>
      </w:r>
    </w:p>
    <w:tbl>
      <w:tblPr>
        <w:tblStyle w:val="LightGrid-Accent1"/>
        <w:tblW w:type="auto" w:w="0"/>
        <w:jc w:val="left"/>
        <w:tblLook w:firstColumn="1" w:firstRow="1" w:lastColumn="0" w:lastRow="0" w:noHBand="0" w:noVBand="1" w:val="04A0"/>
      </w:tblPr>
      <w:tblGrid>
        <w:gridCol w:w="4320"/>
        <w:gridCol w:w="4320"/>
      </w:tblGrid>
      <w:tr>
        <w:tc>
          <w:tcPr>
            <w:tcW w:type="dxa" w:w="2268"/>
          </w:tcPr>
          <w:p>
            <w:r>
              <w:rPr>
                <w:b/>
                <w:sz w:val="20"/>
              </w:rPr>
              <w:t>Item</w:t>
            </w:r>
          </w:p>
        </w:tc>
        <w:tc>
          <w:tcPr>
            <w:tcW w:type="dxa" w:w="7937"/>
          </w:tcPr>
          <w:p>
            <w:r>
              <w:rPr>
                <w:b/>
                <w:sz w:val="20"/>
              </w:rPr>
              <w:t>Detail</w:t>
            </w:r>
          </w:p>
        </w:tc>
      </w:tr>
      <w:tr>
        <w:tc>
          <w:tcPr>
            <w:tcW w:type="dxa" w:w="2268"/>
          </w:tcPr>
          <w:p>
            <w:r>
              <w:rPr>
                <w:sz w:val="20"/>
              </w:rPr>
              <w:t>Purpose</w:t>
            </w:r>
          </w:p>
        </w:tc>
        <w:tc>
          <w:tcPr>
            <w:tcW w:type="dxa" w:w="7937"/>
          </w:tcPr>
          <w:p>
            <w:r>
              <w:rPr>
                <w:sz w:val="20"/>
              </w:rPr>
              <w:t>Consolidated risk list with likelihood, impact, and owner. Auto-promote high-risk items to Alerts with runbooks.</w:t>
            </w:r>
          </w:p>
        </w:tc>
      </w:tr>
      <w:tr>
        <w:tc>
          <w:tcPr>
            <w:tcW w:type="dxa" w:w="2268"/>
          </w:tcPr>
          <w:p>
            <w:r>
              <w:rPr>
                <w:sz w:val="20"/>
              </w:rPr>
              <w:t>Signals / view</w:t>
            </w:r>
          </w:p>
        </w:tc>
        <w:tc>
          <w:tcPr>
            <w:tcW w:type="dxa" w:w="7937"/>
          </w:tcPr>
          <w:p>
            <w:r>
              <w:rPr>
                <w:sz w:val="20"/>
              </w:rPr>
              <w:t>Risk severity matrix (likelihood vs impact). Early warning signals derived from other Human Capital modules (for example, high burnout scores plus rising attrition in the same team).</w:t>
            </w:r>
          </w:p>
        </w:tc>
      </w:tr>
      <w:tr>
        <w:tc>
          <w:tcPr>
            <w:tcW w:type="dxa" w:w="2268"/>
          </w:tcPr>
          <w:p>
            <w:r>
              <w:rPr>
                <w:sz w:val="20"/>
              </w:rPr>
              <w:t>Metrics / data</w:t>
            </w:r>
          </w:p>
        </w:tc>
        <w:tc>
          <w:tcPr>
            <w:tcW w:type="dxa" w:w="7937"/>
          </w:tcPr>
          <w:p>
            <w:r>
              <w:rPr>
                <w:sz w:val="20"/>
              </w:rPr>
              <w:t>Risk count by severity. Days since last review. Owner assignment coverage. Correlation flags between risk domains.</w:t>
            </w:r>
          </w:p>
        </w:tc>
      </w:tr>
      <w:tr>
        <w:tc>
          <w:tcPr>
            <w:tcW w:type="dxa" w:w="2268"/>
          </w:tcPr>
          <w:p>
            <w:r>
              <w:rPr>
                <w:sz w:val="20"/>
              </w:rPr>
              <w:t>Inputs</w:t>
            </w:r>
          </w:p>
        </w:tc>
        <w:tc>
          <w:tcPr>
            <w:tcW w:type="dxa" w:w="7937"/>
          </w:tcPr>
          <w:p>
            <w:r>
              <w:rPr>
                <w:sz w:val="20"/>
              </w:rPr>
              <w:t>Manual risk entry. Automated signals from Org Health, Burnout, Team Performance, and Hiring modules.</w:t>
            </w:r>
          </w:p>
        </w:tc>
      </w:tr>
      <w:tr>
        <w:tc>
          <w:tcPr>
            <w:tcW w:type="dxa" w:w="2268"/>
          </w:tcPr>
          <w:p>
            <w:r>
              <w:rPr>
                <w:sz w:val="20"/>
              </w:rPr>
              <w:t>Outputs</w:t>
            </w:r>
          </w:p>
        </w:tc>
        <w:tc>
          <w:tcPr>
            <w:tcW w:type="dxa" w:w="7937"/>
          </w:tcPr>
          <w:p>
            <w:r>
              <w:rPr>
                <w:sz w:val="20"/>
              </w:rPr>
              <w:t>Risk register dashboard with sortable, filterable risk list. Auto-promoted alerts for high-severity risks. Runbook links for standard response procedures.</w:t>
            </w:r>
          </w:p>
        </w:tc>
      </w:tr>
      <w:tr>
        <w:tc>
          <w:tcPr>
            <w:tcW w:type="dxa" w:w="2268"/>
          </w:tcPr>
          <w:p>
            <w:r>
              <w:rPr>
                <w:sz w:val="20"/>
              </w:rPr>
              <w:t>Acceptance</w:t>
            </w:r>
          </w:p>
        </w:tc>
        <w:tc>
          <w:tcPr>
            <w:tcW w:type="dxa" w:w="7937"/>
          </w:tcPr>
          <w:p>
            <w:r>
              <w:rPr>
                <w:sz w:val="20"/>
              </w:rPr>
              <w:t>Create a risk entry, assign likelihood and impact, see it appear on the severity matrix. High-risk items auto-promote to Alerts with attached runbooks.</w:t>
            </w:r>
          </w:p>
        </w:tc>
      </w:tr>
    </w:tbl>
    <w:p/>
    <w:p>
      <w:r>
        <w:rPr>
          <w:b/>
        </w:rPr>
        <w:t xml:space="preserve">Filters: </w:t>
      </w:r>
      <w:r>
        <w:t>Severity, owner, domain, date range</w:t>
      </w:r>
    </w:p>
    <w:p>
      <w:pPr>
        <w:pStyle w:val="Heading1"/>
      </w:pPr>
      <w:r>
        <w:t>8. Ease of use and UX</w:t>
      </w:r>
    </w:p>
    <w:p>
      <w:pPr>
        <w:pStyle w:val="Heading2"/>
      </w:pPr>
      <w:r>
        <w:t>8.1 Platforms</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1701"/>
          </w:tcPr>
          <w:p>
            <w:r>
              <w:rPr>
                <w:b/>
                <w:sz w:val="20"/>
              </w:rPr>
              <w:t>Platform</w:t>
            </w:r>
          </w:p>
        </w:tc>
        <w:tc>
          <w:tcPr>
            <w:tcW w:type="dxa" w:w="2835"/>
          </w:tcPr>
          <w:p>
            <w:r>
              <w:rPr>
                <w:b/>
                <w:sz w:val="20"/>
              </w:rPr>
              <w:t>Versions</w:t>
            </w:r>
          </w:p>
        </w:tc>
        <w:tc>
          <w:tcPr>
            <w:tcW w:type="dxa" w:w="1701"/>
          </w:tcPr>
          <w:p>
            <w:r>
              <w:rPr>
                <w:b/>
                <w:sz w:val="20"/>
              </w:rPr>
              <w:t>Priority</w:t>
            </w:r>
          </w:p>
        </w:tc>
        <w:tc>
          <w:tcPr>
            <w:tcW w:type="dxa" w:w="2835"/>
          </w:tcPr>
          <w:p>
            <w:r>
              <w:rPr>
                <w:b/>
                <w:sz w:val="20"/>
              </w:rPr>
              <w:t>Notes</w:t>
            </w:r>
          </w:p>
        </w:tc>
      </w:tr>
      <w:tr>
        <w:tc>
          <w:tcPr>
            <w:tcW w:type="dxa" w:w="1701"/>
          </w:tcPr>
          <w:p>
            <w:r>
              <w:rPr>
                <w:sz w:val="20"/>
              </w:rPr>
              <w:t>Web (desktop)</w:t>
            </w:r>
          </w:p>
        </w:tc>
        <w:tc>
          <w:tcPr>
            <w:tcW w:type="dxa" w:w="2835"/>
          </w:tcPr>
          <w:p>
            <w:r>
              <w:rPr>
                <w:sz w:val="20"/>
              </w:rPr>
              <w:t>Chrome, Firefox, Safari, Edge (latest 2 versions)</w:t>
            </w:r>
          </w:p>
        </w:tc>
        <w:tc>
          <w:tcPr>
            <w:tcW w:type="dxa" w:w="1701"/>
          </w:tcPr>
          <w:p>
            <w:r>
              <w:rPr>
                <w:sz w:val="20"/>
              </w:rPr>
              <w:t>Primary</w:t>
            </w:r>
          </w:p>
        </w:tc>
        <w:tc>
          <w:tcPr>
            <w:tcW w:type="dxa" w:w="2835"/>
          </w:tcPr>
          <w:p>
            <w:r>
              <w:rPr>
                <w:sz w:val="20"/>
              </w:rPr>
              <w:t>Full feature parity</w:t>
            </w:r>
          </w:p>
        </w:tc>
      </w:tr>
      <w:tr>
        <w:tc>
          <w:tcPr>
            <w:tcW w:type="dxa" w:w="1701"/>
          </w:tcPr>
          <w:p>
            <w:r>
              <w:rPr>
                <w:sz w:val="20"/>
              </w:rPr>
              <w:t>Web (tablet)</w:t>
            </w:r>
          </w:p>
        </w:tc>
        <w:tc>
          <w:tcPr>
            <w:tcW w:type="dxa" w:w="2835"/>
          </w:tcPr>
          <w:p>
            <w:r>
              <w:rPr>
                <w:sz w:val="20"/>
              </w:rPr>
              <w:t>iPad Safari, Chrome</w:t>
            </w:r>
          </w:p>
        </w:tc>
        <w:tc>
          <w:tcPr>
            <w:tcW w:type="dxa" w:w="1701"/>
          </w:tcPr>
          <w:p>
            <w:r>
              <w:rPr>
                <w:sz w:val="20"/>
              </w:rPr>
              <w:t>Secondary</w:t>
            </w:r>
          </w:p>
        </w:tc>
        <w:tc>
          <w:tcPr>
            <w:tcW w:type="dxa" w:w="2835"/>
          </w:tcPr>
          <w:p>
            <w:r>
              <w:rPr>
                <w:sz w:val="20"/>
              </w:rPr>
              <w:t>Responsive layout, read-optimised</w:t>
            </w:r>
          </w:p>
        </w:tc>
      </w:tr>
      <w:tr>
        <w:tc>
          <w:tcPr>
            <w:tcW w:type="dxa" w:w="1701"/>
          </w:tcPr>
          <w:p>
            <w:r>
              <w:rPr>
                <w:sz w:val="20"/>
              </w:rPr>
              <w:t>Mobile web</w:t>
            </w:r>
          </w:p>
        </w:tc>
        <w:tc>
          <w:tcPr>
            <w:tcW w:type="dxa" w:w="2835"/>
          </w:tcPr>
          <w:p>
            <w:r>
              <w:rPr>
                <w:sz w:val="20"/>
              </w:rPr>
              <w:t>iOS Safari, Android Chrome</w:t>
            </w:r>
          </w:p>
        </w:tc>
        <w:tc>
          <w:tcPr>
            <w:tcW w:type="dxa" w:w="1701"/>
          </w:tcPr>
          <w:p>
            <w:r>
              <w:rPr>
                <w:sz w:val="20"/>
              </w:rPr>
              <w:t>Tertiary</w:t>
            </w:r>
          </w:p>
        </w:tc>
        <w:tc>
          <w:tcPr>
            <w:tcW w:type="dxa" w:w="2835"/>
          </w:tcPr>
          <w:p>
            <w:r>
              <w:rPr>
                <w:sz w:val="20"/>
              </w:rPr>
              <w:t>Alert consumption and dashboard viewing only</w:t>
            </w:r>
          </w:p>
        </w:tc>
      </w:tr>
    </w:tbl>
    <w:p/>
    <w:p>
      <w:pPr>
        <w:pStyle w:val="Heading2"/>
      </w:pPr>
      <w:r>
        <w:t>8.2 UI design guidelines</w:t>
      </w:r>
    </w:p>
    <w:p>
      <w:r>
        <w:rPr>
          <w:b/>
        </w:rPr>
        <w:t xml:space="preserve">Navigation model: </w:t>
      </w:r>
      <w:r>
        <w:t>Global sidebar with module labels: Market Overview, Competitive Landscape, Sentiment, Foresight, Market Watch, Alerts, The Sage, Executive Dashboard, Finance, API (reserved), Human Capital (collapsible sub-nav). Breadcrumb trail for drill-down context.</w:t>
      </w:r>
    </w:p>
    <w:p>
      <w:r>
        <w:rPr>
          <w:b/>
        </w:rPr>
        <w:t xml:space="preserve">Information hierarchy: </w:t>
      </w:r>
      <w:r>
        <w:t>Dashboard tiles at the top for quick scanning; detail panels expand below or in slide-over drawers. KPIs are large and scannable; supporting data is progressive.</w:t>
      </w:r>
    </w:p>
    <w:p>
      <w:r>
        <w:rPr>
          <w:b/>
        </w:rPr>
        <w:t xml:space="preserve">Interaction patterns: </w:t>
      </w:r>
      <w:r>
        <w:t>Filters: persistent filter bar with dropdown selectors and date range pickers. Search: global title search with typeahead. Sorting: column sorting on all tables. Pagination: infinite scroll for lists; paginated for tables.</w:t>
      </w:r>
    </w:p>
    <w:p>
      <w:r>
        <w:rPr>
          <w:b/>
        </w:rPr>
        <w:t xml:space="preserve">Accessibility: </w:t>
      </w:r>
      <w:r>
        <w:t>WCAG 2.1 AA minimum. Sufficient colour contrast, keyboard navigation, alt text on all images and charts, ARIA labels on interactive elements.</w:t>
      </w:r>
    </w:p>
    <w:p>
      <w:r>
        <w:rPr>
          <w:b/>
        </w:rPr>
        <w:t xml:space="preserve">Responsive breakpoints: </w:t>
      </w:r>
      <w:r>
        <w:t>Desktop: 1280px and above. Tablet: 768 to 1279px. Mobile: below 768px (single-column layout, tile stacking, simplified charts).</w:t>
      </w:r>
    </w:p>
    <w:p>
      <w:r>
        <w:rPr>
          <w:b/>
        </w:rPr>
        <w:t xml:space="preserve">Performance: </w:t>
      </w:r>
      <w:r>
        <w:t>Target load times: initial dashboard 3 seconds; filter interaction 2 seconds; export generation 120 seconds maximum.</w:t>
      </w:r>
    </w:p>
    <w:p>
      <w:r>
        <w:rPr>
          <w:b/>
        </w:rPr>
        <w:t xml:space="preserve">Empty, loading, and error states: </w:t>
      </w:r>
      <w:r>
        <w:t>Loading: skeleton tiles with subtle animation. Empty: descriptive message with suggested action. Error: clear error message with retry option. Offline: fallback tiles with last-updated timestamp.</w:t>
      </w:r>
    </w:p>
    <w:p>
      <w:r>
        <w:rPr>
          <w:b/>
        </w:rPr>
        <w:t xml:space="preserve">Presenter mode: </w:t>
      </w:r>
      <w:r>
        <w:t>Full-screen mode with larger fonts and hidden chrome for live investor demos.</w:t>
      </w:r>
    </w:p>
    <w:p>
      <w:r>
        <w:rPr>
          <w:b/>
        </w:rPr>
        <w:t xml:space="preserve">Provenance UI: </w:t>
      </w:r>
      <w:r>
        <w:t>All estimated metrics display a provenance detail including source, transform summary, and last refresh. The specific UI pattern (mouse-hover tooltip, fixed corner panel, slide-over drawer, or other treatment) must be determined in a dedicated UX design pass.</w:t>
      </w:r>
    </w:p>
    <w:p>
      <w:r>
        <w:rPr>
          <w:b/>
        </w:rPr>
        <w:t xml:space="preserve">Dark mode: </w:t>
      </w:r>
      <w:r>
        <w:t>Beta phase. Default light theme for v1.</w:t>
      </w:r>
    </w:p>
    <w:p>
      <w:r>
        <w:rPr>
          <w:b/>
        </w:rPr>
        <w:t xml:space="preserve">Copy rules: </w:t>
      </w:r>
      <w:r>
        <w:t>No jargon without definition. No em dashes. Concise, action-oriented labels.</w:t>
      </w:r>
    </w:p>
    <w:p>
      <w:r>
        <w:rPr>
          <w:b/>
        </w:rPr>
        <w:t xml:space="preserve">Wireframes: </w:t>
      </w:r>
      <w:r>
        <w:t>A navigation sitemap, dashboard layout wireframe, key user flow for the 5-minute demo, and filter/drill-down interaction pattern are required before Alpha build. See Appendix C for placeholders.</w:t>
      </w:r>
    </w:p>
    <w:p>
      <w:pPr>
        <w:pStyle w:val="Heading1"/>
      </w:pPr>
      <w:r>
        <w:t>9. Data and architecture</w:t>
      </w:r>
    </w:p>
    <w:p>
      <w:r>
        <w:rPr>
          <w:b/>
        </w:rPr>
        <w:t xml:space="preserve">Data sources and ingestion: </w:t>
      </w:r>
      <w:r>
        <w:t>Public store leaderboards, price points, ratings, and reviews from iOS App Store, Google Play, and Steam. Console (PlayStation, Xbox) sentiment sourced from web-scraped review aggregators (Metacritic, OpenCritic user review sections). Release data from publisher newsrooms, store news feeds, and press wires. Update timestamps and patch notes. Seeded catalog of 50 titles across 3 or more genres for the demo. Synthetic fill clearly flagged as Estimated. NBI Human Capital data from survey imports, project management connectors (Jira, Azure Boards, Shortcut), ATS connectors, HR exports, and LMS exports. Pipeline: Ingest (scheduled daily pulls plus CSV drops) then Process (normalisation, topic modelling, forecasting) then Serve.</w:t>
      </w:r>
    </w:p>
    <w:p>
      <w:r>
        <w:rPr>
          <w:b/>
        </w:rPr>
        <w:t xml:space="preserve">Storage and modelling: </w:t>
      </w:r>
      <w:r>
        <w:t>PostgreSQL for transactional data (user accounts, alert definitions, preferences). DuckDB for analytical queries (KPI aggregation, time-series analysis, forecast serving). Both co-exist in the stack. Key tables: titles, title_platforms, title_genres, title_regions, kpi_daily, kpi_periodic, price_history, iap_skus, iap_price_history, monetisation_signatures, releases, patch_notes, content_tags, collision_windows, sentiment_daily_index, sentiment_topics, forecast_daily, forecast_attribution, forecast_backtest, scenario_saves, alert_definitions, alert_events, sage_recommendations, sage_actions_log. Human Capital tables: hc_org_units, hc_pulse_scores, hc_team_metrics, hc_load_balance, hc_skills_matrix, hc_hiring_pipeline, hc_comp_benchmarks, hc_change_adoption, hc_coaching_outcomes, okrs, okr_key_results, risk_register.</w:t>
      </w:r>
    </w:p>
    <w:p>
      <w:r>
        <w:rPr>
          <w:b/>
        </w:rPr>
        <w:t xml:space="preserve">System architecture overview: </w:t>
      </w:r>
      <w:r>
        <w:t>Data sources (App Store, Google Play, Steam, Metacritic, OpenCritic, publisher newsrooms, HR/ATS/LMS connectors) feed into an ingestion layer (scheduled daily pulls plus CSV drops). The ingestion layer writes to the storage layer (PostgreSQL for transactional data, DuckDB for analytical data). A processing layer runs normalisation, topic modelling, forecasting, and Sage rule evaluation. A FastAPI service layer exposes read endpoints to the Next.js frontend. A full architecture diagram is required before Alpha build (see Appendix C).</w:t>
      </w:r>
    </w:p>
    <w:p>
      <w:r>
        <w:rPr>
          <w:b/>
        </w:rPr>
        <w:t xml:space="preserve">AI models and prompts: </w:t>
      </w:r>
      <w:r>
        <w:t>Sentiment: NLP classifier with topic modelling (BERTopic for v1; LDA as compute-budget fallback). Forecasting: GBM/Prophet ensemble with elasticity overlays and scenario-specific deterministic curves. The Sage: rule-plus-heuristic layer with small ML ranking models. All models versioned with backtest metrics stored.</w:t>
      </w:r>
    </w:p>
    <w:p>
      <w:r>
        <w:rPr>
          <w:b/>
        </w:rPr>
        <w:t xml:space="preserve">Data volume estimates: </w:t>
      </w:r>
      <w:r>
        <w:t>kpi_daily: approximately 5,000 rows per day at demo scale (50 titles multiplied by 5 platforms multiplied by approximately 20 regions). At full catalog (5,000 titles): approximately 500,000 rows per day. sentiment_daily_index: approximately 500 rows per day at demo scale. forecast_daily: approximately 5,000 rows per day at demo scale.</w:t>
      </w:r>
    </w:p>
    <w:p>
      <w:r>
        <w:rPr>
          <w:b/>
        </w:rPr>
        <w:t xml:space="preserve">Historical backfill: </w:t>
      </w:r>
      <w:r>
        <w:t>12 to 24 months of historical data for the seeded catalog sourced from store API historical endpoints and third-party data providers. Backfill quality directly impacts forecast accuracy and must be complete before demo freeze.</w:t>
      </w:r>
    </w:p>
    <w:p>
      <w:r>
        <w:rPr>
          <w:b/>
        </w:rPr>
        <w:t xml:space="preserve">Privacy and compliance: </w:t>
      </w:r>
      <w:r>
        <w:t>No PII ingested or stored from public game data. Public data only with source attribution. GDPR-aware: user account data governed by standard data processing agreement. Synthetic fill clearly labelled. Human Capital data subject to aggregation thresholds to avoid individual exposure.</w:t>
      </w:r>
    </w:p>
    <w:p>
      <w:r>
        <w:rPr>
          <w:b/>
        </w:rPr>
        <w:t xml:space="preserve">Security and access control: </w:t>
      </w:r>
      <w:r>
        <w:t>SSO via Google and Microsoft (OIDC). Role-based access control: Admin, Editor, Viewer. Org-scoped data isolation. IP allow lists for pilot customers. Export watermarking and activity audit logs.</w:t>
      </w:r>
    </w:p>
    <w:p>
      <w:r>
        <w:rPr>
          <w:b/>
        </w:rPr>
        <w:t xml:space="preserve">Observability and logging: </w:t>
      </w:r>
      <w:r>
        <w:t>Request logging with latency metrics. Data freshness tracking per source. Tile cache hit rate monitoring. Model drift alerts. Forced-cache toggle for guaranteed demo playback. Internal health dashboard.</w:t>
      </w:r>
    </w:p>
    <w:p>
      <w:pPr>
        <w:pStyle w:val="Heading1"/>
      </w:pPr>
      <w:r>
        <w:t>10. Pricing and packaging</w:t>
      </w:r>
    </w:p>
    <w:p>
      <w:r>
        <w:t>Pricing is designed to scale with studio size and usage. Three tiers provide clear value fences while ensuring accessibility for indie teams and comprehensive coverage for enterprise accounts. Competitive pricing context: Sensor Tower enterprise contracts typically range from $30,000 to $80,000 per year. VGInsights is approximately $50 to $200 per month. Playsage Pro targets the mid-market gap between affordable-but-limited PC tools and enterprise mobile intelligence.</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134"/>
          </w:tcPr>
          <w:p>
            <w:r>
              <w:rPr>
                <w:b/>
                <w:sz w:val="20"/>
              </w:rPr>
              <w:t>Tier</w:t>
            </w:r>
          </w:p>
        </w:tc>
        <w:tc>
          <w:tcPr>
            <w:tcW w:type="dxa" w:w="1984"/>
          </w:tcPr>
          <w:p>
            <w:r>
              <w:rPr>
                <w:b/>
                <w:sz w:val="20"/>
              </w:rPr>
              <w:t>Who it is for</w:t>
            </w:r>
          </w:p>
        </w:tc>
        <w:tc>
          <w:tcPr>
            <w:tcW w:type="dxa" w:w="2835"/>
          </w:tcPr>
          <w:p>
            <w:r>
              <w:rPr>
                <w:b/>
                <w:sz w:val="20"/>
              </w:rPr>
              <w:t>Included features</w:t>
            </w:r>
          </w:p>
        </w:tc>
        <w:tc>
          <w:tcPr>
            <w:tcW w:type="dxa" w:w="1984"/>
          </w:tcPr>
          <w:p>
            <w:r>
              <w:rPr>
                <w:b/>
                <w:sz w:val="20"/>
              </w:rPr>
              <w:t>Price metric</w:t>
            </w:r>
          </w:p>
        </w:tc>
        <w:tc>
          <w:tcPr>
            <w:tcW w:type="dxa" w:w="1984"/>
          </w:tcPr>
          <w:p>
            <w:r>
              <w:rPr>
                <w:b/>
                <w:sz w:val="20"/>
              </w:rPr>
              <w:t>Notes</w:t>
            </w:r>
          </w:p>
        </w:tc>
      </w:tr>
      <w:tr>
        <w:tc>
          <w:tcPr>
            <w:tcW w:type="dxa" w:w="1134"/>
          </w:tcPr>
          <w:p>
            <w:r>
              <w:rPr>
                <w:sz w:val="20"/>
              </w:rPr>
              <w:t>Starter</w:t>
            </w:r>
          </w:p>
        </w:tc>
        <w:tc>
          <w:tcPr>
            <w:tcW w:type="dxa" w:w="1984"/>
          </w:tcPr>
          <w:p>
            <w:r>
              <w:rPr>
                <w:sz w:val="20"/>
              </w:rPr>
              <w:t>Indie and small studios (up to 5 users)</w:t>
            </w:r>
          </w:p>
        </w:tc>
        <w:tc>
          <w:tcPr>
            <w:tcW w:type="dxa" w:w="2835"/>
          </w:tcPr>
          <w:p>
            <w:r>
              <w:rPr>
                <w:sz w:val="20"/>
              </w:rPr>
              <w:t>Market Overview, Competitive Landscape (limited to 3 comparisons per month), Sentiment (1 title), basic exports (CSV)</w:t>
            </w:r>
          </w:p>
        </w:tc>
        <w:tc>
          <w:tcPr>
            <w:tcW w:type="dxa" w:w="1984"/>
          </w:tcPr>
          <w:p>
            <w:r>
              <w:rPr>
                <w:sz w:val="20"/>
              </w:rPr>
              <w:t>Per workspace per month. Indicative: $99 to $199 per workspace per month.</w:t>
            </w:r>
          </w:p>
        </w:tc>
        <w:tc>
          <w:tcPr>
            <w:tcW w:type="dxa" w:w="1984"/>
          </w:tcPr>
          <w:p>
            <w:r>
              <w:rPr>
                <w:sz w:val="20"/>
              </w:rPr>
              <w:t>Self-serve signup; limited data depth</w:t>
            </w:r>
          </w:p>
        </w:tc>
      </w:tr>
      <w:tr>
        <w:tc>
          <w:tcPr>
            <w:tcW w:type="dxa" w:w="1134"/>
          </w:tcPr>
          <w:p>
            <w:r>
              <w:rPr>
                <w:sz w:val="20"/>
              </w:rPr>
              <w:t>Pro</w:t>
            </w:r>
          </w:p>
        </w:tc>
        <w:tc>
          <w:tcPr>
            <w:tcW w:type="dxa" w:w="1984"/>
          </w:tcPr>
          <w:p>
            <w:r>
              <w:rPr>
                <w:sz w:val="20"/>
              </w:rPr>
              <w:t>AA studios and mid-size teams (up to 20 users)</w:t>
            </w:r>
          </w:p>
        </w:tc>
        <w:tc>
          <w:tcPr>
            <w:tcW w:type="dxa" w:w="2835"/>
          </w:tcPr>
          <w:p>
            <w:r>
              <w:rPr>
                <w:sz w:val="20"/>
              </w:rPr>
              <w:t>All core modules including Foresight, Market Watch, Alerts, The Sage (standard), full exports, scheduled reports</w:t>
            </w:r>
          </w:p>
        </w:tc>
        <w:tc>
          <w:tcPr>
            <w:tcW w:type="dxa" w:w="1984"/>
          </w:tcPr>
          <w:p>
            <w:r>
              <w:rPr>
                <w:sz w:val="20"/>
              </w:rPr>
              <w:t>Per seat per month. Indicative: $300 to $600 per seat per month.</w:t>
            </w:r>
          </w:p>
        </w:tc>
        <w:tc>
          <w:tcPr>
            <w:tcW w:type="dxa" w:w="1984"/>
          </w:tcPr>
          <w:p>
            <w:r>
              <w:rPr>
                <w:sz w:val="20"/>
              </w:rPr>
              <w:t>Annual discount available; priority support</w:t>
            </w:r>
          </w:p>
        </w:tc>
      </w:tr>
      <w:tr>
        <w:tc>
          <w:tcPr>
            <w:tcW w:type="dxa" w:w="1134"/>
          </w:tcPr>
          <w:p>
            <w:r>
              <w:rPr>
                <w:sz w:val="20"/>
              </w:rPr>
              <w:t>Enterprise</w:t>
            </w:r>
          </w:p>
        </w:tc>
        <w:tc>
          <w:tcPr>
            <w:tcW w:type="dxa" w:w="1984"/>
          </w:tcPr>
          <w:p>
            <w:r>
              <w:rPr>
                <w:sz w:val="20"/>
              </w:rPr>
              <w:t>AAA publishers and multi-studio organisations</w:t>
            </w:r>
          </w:p>
        </w:tc>
        <w:tc>
          <w:tcPr>
            <w:tcW w:type="dxa" w:w="2835"/>
          </w:tcPr>
          <w:p>
            <w:r>
              <w:rPr>
                <w:sz w:val="20"/>
              </w:rPr>
              <w:t>All Pro features plus: NBI Human Capital analytics pack, custom data integrations, API access, dedicated customer success, SLA guarantees, SSO/RBAC, audit logs, custom report branding</w:t>
            </w:r>
          </w:p>
        </w:tc>
        <w:tc>
          <w:tcPr>
            <w:tcW w:type="dxa" w:w="1984"/>
          </w:tcPr>
          <w:p>
            <w:r>
              <w:rPr>
                <w:sz w:val="20"/>
              </w:rPr>
              <w:t>Custom pricing based on seats and data volume. Indicative: starting at $50,000 per year.</w:t>
            </w:r>
          </w:p>
        </w:tc>
        <w:tc>
          <w:tcPr>
            <w:tcW w:type="dxa" w:w="1984"/>
          </w:tcPr>
          <w:p>
            <w:r>
              <w:rPr>
                <w:sz w:val="20"/>
              </w:rPr>
              <w:t>Annual contracts; dedicated account manager</w:t>
            </w:r>
          </w:p>
        </w:tc>
      </w:tr>
    </w:tbl>
    <w:p/>
    <w:p>
      <w:r>
        <w:t>Investor-facing note: pricing hints are not shown in the demo product. Packaging details will be finalised based on early customer feedback and willingness-to-pay interviews post-demo.</w:t>
      </w:r>
    </w:p>
    <w:p>
      <w:pPr>
        <w:pStyle w:val="Heading1"/>
      </w:pPr>
      <w:r>
        <w:t>11. Success metrics</w:t>
      </w:r>
    </w:p>
    <w:p>
      <w:r>
        <w:t>Note: Product-Market Fit score (Sean Ellis test) is the primary satisfaction metric for Beta and early V1, when user base is below 50 respondents. NPS will be added alongside PMF score once the active user base exceeds 50 respondents, as it is the standard B2B SaaS benchmark investors expect. CSAT is used specifically for support quality measurement.</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701"/>
          </w:tcPr>
          <w:p>
            <w:r>
              <w:rPr>
                <w:b/>
                <w:sz w:val="20"/>
              </w:rPr>
              <w:t>Metric</w:t>
            </w:r>
          </w:p>
        </w:tc>
        <w:tc>
          <w:tcPr>
            <w:tcW w:type="dxa" w:w="2268"/>
          </w:tcPr>
          <w:p>
            <w:r>
              <w:rPr>
                <w:b/>
                <w:sz w:val="20"/>
              </w:rPr>
              <w:t>Definition</w:t>
            </w:r>
          </w:p>
        </w:tc>
        <w:tc>
          <w:tcPr>
            <w:tcW w:type="dxa" w:w="1701"/>
          </w:tcPr>
          <w:p>
            <w:r>
              <w:rPr>
                <w:b/>
                <w:sz w:val="20"/>
              </w:rPr>
              <w:t>Target</w:t>
            </w:r>
          </w:p>
        </w:tc>
        <w:tc>
          <w:tcPr>
            <w:tcW w:type="dxa" w:w="1417"/>
          </w:tcPr>
          <w:p>
            <w:r>
              <w:rPr>
                <w:b/>
                <w:sz w:val="20"/>
              </w:rPr>
              <w:t>Timeframe</w:t>
            </w:r>
          </w:p>
        </w:tc>
        <w:tc>
          <w:tcPr>
            <w:tcW w:type="dxa" w:w="1701"/>
          </w:tcPr>
          <w:p>
            <w:r>
              <w:rPr>
                <w:b/>
                <w:sz w:val="20"/>
              </w:rPr>
              <w:t>Instrumentation</w:t>
            </w:r>
          </w:p>
        </w:tc>
      </w:tr>
      <w:tr>
        <w:tc>
          <w:tcPr>
            <w:tcW w:type="dxa" w:w="1701"/>
          </w:tcPr>
          <w:p>
            <w:r>
              <w:rPr>
                <w:sz w:val="20"/>
              </w:rPr>
              <w:t>Demo conversion</w:t>
            </w:r>
          </w:p>
        </w:tc>
        <w:tc>
          <w:tcPr>
            <w:tcW w:type="dxa" w:w="2268"/>
          </w:tcPr>
          <w:p>
            <w:r>
              <w:rPr>
                <w:sz w:val="20"/>
              </w:rPr>
              <w:t>Percentage of investor demos that proceed to follow-up meeting or term sheet</w:t>
            </w:r>
          </w:p>
        </w:tc>
        <w:tc>
          <w:tcPr>
            <w:tcW w:type="dxa" w:w="1701"/>
          </w:tcPr>
          <w:p>
            <w:r>
              <w:rPr>
                <w:sz w:val="20"/>
              </w:rPr>
              <w:t>50 percent or higher</w:t>
            </w:r>
          </w:p>
        </w:tc>
        <w:tc>
          <w:tcPr>
            <w:tcW w:type="dxa" w:w="1417"/>
          </w:tcPr>
          <w:p>
            <w:r>
              <w:rPr>
                <w:sz w:val="20"/>
              </w:rPr>
              <w:t>First 10 demos</w:t>
            </w:r>
          </w:p>
        </w:tc>
        <w:tc>
          <w:tcPr>
            <w:tcW w:type="dxa" w:w="1701"/>
          </w:tcPr>
          <w:p>
            <w:r>
              <w:rPr>
                <w:sz w:val="20"/>
              </w:rPr>
              <w:t>CRM tracking</w:t>
            </w:r>
          </w:p>
        </w:tc>
      </w:tr>
      <w:tr>
        <w:tc>
          <w:tcPr>
            <w:tcW w:type="dxa" w:w="1701"/>
          </w:tcPr>
          <w:p>
            <w:r>
              <w:rPr>
                <w:sz w:val="20"/>
              </w:rPr>
              <w:t>Activation rate</w:t>
            </w:r>
          </w:p>
        </w:tc>
        <w:tc>
          <w:tcPr>
            <w:tcW w:type="dxa" w:w="2268"/>
          </w:tcPr>
          <w:p>
            <w:r>
              <w:rPr>
                <w:sz w:val="20"/>
              </w:rPr>
              <w:t>Percentage of new workspaces where a user has (a) viewed 2 or more modules, (b) applied at least one custom filter, and (c) exported or saved a view, all within 7 days of signup</w:t>
            </w:r>
          </w:p>
        </w:tc>
        <w:tc>
          <w:tcPr>
            <w:tcW w:type="dxa" w:w="1701"/>
          </w:tcPr>
          <w:p>
            <w:r>
              <w:rPr>
                <w:sz w:val="20"/>
              </w:rPr>
              <w:t>40 percent</w:t>
            </w:r>
          </w:p>
        </w:tc>
        <w:tc>
          <w:tcPr>
            <w:tcW w:type="dxa" w:w="1417"/>
          </w:tcPr>
          <w:p>
            <w:r>
              <w:rPr>
                <w:sz w:val="20"/>
              </w:rPr>
              <w:t>Q1 post-launch</w:t>
            </w:r>
          </w:p>
        </w:tc>
        <w:tc>
          <w:tcPr>
            <w:tcW w:type="dxa" w:w="1701"/>
          </w:tcPr>
          <w:p>
            <w:r>
              <w:rPr>
                <w:sz w:val="20"/>
              </w:rPr>
              <w:t>Event PS_activated</w:t>
            </w:r>
          </w:p>
        </w:tc>
      </w:tr>
      <w:tr>
        <w:tc>
          <w:tcPr>
            <w:tcW w:type="dxa" w:w="1701"/>
          </w:tcPr>
          <w:p>
            <w:r>
              <w:rPr>
                <w:sz w:val="20"/>
              </w:rPr>
              <w:t>Time to first insight</w:t>
            </w:r>
          </w:p>
        </w:tc>
        <w:tc>
          <w:tcPr>
            <w:tcW w:type="dxa" w:w="2268"/>
          </w:tcPr>
          <w:p>
            <w:r>
              <w:rPr>
                <w:sz w:val="20"/>
              </w:rPr>
              <w:t>Minutes from first login to first actionable finding</w:t>
            </w:r>
          </w:p>
        </w:tc>
        <w:tc>
          <w:tcPr>
            <w:tcW w:type="dxa" w:w="1701"/>
          </w:tcPr>
          <w:p>
            <w:r>
              <w:rPr>
                <w:sz w:val="20"/>
              </w:rPr>
              <w:t>Under 5 minutes</w:t>
            </w:r>
          </w:p>
        </w:tc>
        <w:tc>
          <w:tcPr>
            <w:tcW w:type="dxa" w:w="1417"/>
          </w:tcPr>
          <w:p>
            <w:r>
              <w:rPr>
                <w:sz w:val="20"/>
              </w:rPr>
              <w:t>Q1 post-launch</w:t>
            </w:r>
          </w:p>
        </w:tc>
        <w:tc>
          <w:tcPr>
            <w:tcW w:type="dxa" w:w="1701"/>
          </w:tcPr>
          <w:p>
            <w:r>
              <w:rPr>
                <w:sz w:val="20"/>
              </w:rPr>
              <w:t>Session analytics</w:t>
            </w:r>
          </w:p>
        </w:tc>
      </w:tr>
      <w:tr>
        <w:tc>
          <w:tcPr>
            <w:tcW w:type="dxa" w:w="1701"/>
          </w:tcPr>
          <w:p>
            <w:r>
              <w:rPr>
                <w:sz w:val="20"/>
              </w:rPr>
              <w:t>Weekly active usage</w:t>
            </w:r>
          </w:p>
        </w:tc>
        <w:tc>
          <w:tcPr>
            <w:tcW w:type="dxa" w:w="2268"/>
          </w:tcPr>
          <w:p>
            <w:r>
              <w:rPr>
                <w:sz w:val="20"/>
              </w:rPr>
              <w:t>Percentage of licensed seats used weekly</w:t>
            </w:r>
          </w:p>
        </w:tc>
        <w:tc>
          <w:tcPr>
            <w:tcW w:type="dxa" w:w="1701"/>
          </w:tcPr>
          <w:p>
            <w:r>
              <w:rPr>
                <w:sz w:val="20"/>
              </w:rPr>
              <w:t>60 percent</w:t>
            </w:r>
          </w:p>
        </w:tc>
        <w:tc>
          <w:tcPr>
            <w:tcW w:type="dxa" w:w="1417"/>
          </w:tcPr>
          <w:p>
            <w:r>
              <w:rPr>
                <w:sz w:val="20"/>
              </w:rPr>
              <w:t>Q2 post-launch</w:t>
            </w:r>
          </w:p>
        </w:tc>
        <w:tc>
          <w:tcPr>
            <w:tcW w:type="dxa" w:w="1701"/>
          </w:tcPr>
          <w:p>
            <w:r>
              <w:rPr>
                <w:sz w:val="20"/>
              </w:rPr>
              <w:t>Login and interaction events</w:t>
            </w:r>
          </w:p>
        </w:tc>
      </w:tr>
      <w:tr>
        <w:tc>
          <w:tcPr>
            <w:tcW w:type="dxa" w:w="1701"/>
          </w:tcPr>
          <w:p>
            <w:r>
              <w:rPr>
                <w:sz w:val="20"/>
              </w:rPr>
              <w:t>Forecast accuracy (MAPE)</w:t>
            </w:r>
          </w:p>
        </w:tc>
        <w:tc>
          <w:tcPr>
            <w:tcW w:type="dxa" w:w="2268"/>
          </w:tcPr>
          <w:p>
            <w:r>
              <w:rPr>
                <w:sz w:val="20"/>
              </w:rPr>
              <w:t>Median absolute percentage error on 90-day forecasts</w:t>
            </w:r>
          </w:p>
        </w:tc>
        <w:tc>
          <w:tcPr>
            <w:tcW w:type="dxa" w:w="1701"/>
          </w:tcPr>
          <w:p>
            <w:r>
              <w:rPr>
                <w:sz w:val="20"/>
              </w:rPr>
              <w:t>Below 20 percent MAPE for seeded titles</w:t>
            </w:r>
          </w:p>
        </w:tc>
        <w:tc>
          <w:tcPr>
            <w:tcW w:type="dxa" w:w="1417"/>
          </w:tcPr>
          <w:p>
            <w:r>
              <w:rPr>
                <w:sz w:val="20"/>
              </w:rPr>
              <w:t>Ongoing</w:t>
            </w:r>
          </w:p>
        </w:tc>
        <w:tc>
          <w:tcPr>
            <w:tcW w:type="dxa" w:w="1701"/>
          </w:tcPr>
          <w:p>
            <w:r>
              <w:rPr>
                <w:sz w:val="20"/>
              </w:rPr>
              <w:t>Backtest pipeline</w:t>
            </w:r>
          </w:p>
        </w:tc>
      </w:tr>
      <w:tr>
        <w:tc>
          <w:tcPr>
            <w:tcW w:type="dxa" w:w="1701"/>
          </w:tcPr>
          <w:p>
            <w:r>
              <w:rPr>
                <w:sz w:val="20"/>
              </w:rPr>
              <w:t>Sage acceptance rate</w:t>
            </w:r>
          </w:p>
        </w:tc>
        <w:tc>
          <w:tcPr>
            <w:tcW w:type="dxa" w:w="2268"/>
          </w:tcPr>
          <w:p>
            <w:r>
              <w:rPr>
                <w:sz w:val="20"/>
              </w:rPr>
              <w:t>Percentage of Sage recommendations accepted by users</w:t>
            </w:r>
          </w:p>
        </w:tc>
        <w:tc>
          <w:tcPr>
            <w:tcW w:type="dxa" w:w="1701"/>
          </w:tcPr>
          <w:p>
            <w:r>
              <w:rPr>
                <w:sz w:val="20"/>
              </w:rPr>
              <w:t>30 percent or higher</w:t>
            </w:r>
          </w:p>
        </w:tc>
        <w:tc>
          <w:tcPr>
            <w:tcW w:type="dxa" w:w="1417"/>
          </w:tcPr>
          <w:p>
            <w:r>
              <w:rPr>
                <w:sz w:val="20"/>
              </w:rPr>
              <w:t>Q2 post-launch</w:t>
            </w:r>
          </w:p>
        </w:tc>
        <w:tc>
          <w:tcPr>
            <w:tcW w:type="dxa" w:w="1701"/>
          </w:tcPr>
          <w:p>
            <w:r>
              <w:rPr>
                <w:sz w:val="20"/>
              </w:rPr>
              <w:t>sage_actions_log</w:t>
            </w:r>
          </w:p>
        </w:tc>
      </w:tr>
      <w:tr>
        <w:tc>
          <w:tcPr>
            <w:tcW w:type="dxa" w:w="1701"/>
          </w:tcPr>
          <w:p>
            <w:r>
              <w:rPr>
                <w:sz w:val="20"/>
              </w:rPr>
              <w:t>Alert signal-to-noise</w:t>
            </w:r>
          </w:p>
        </w:tc>
        <w:tc>
          <w:tcPr>
            <w:tcW w:type="dxa" w:w="2268"/>
          </w:tcPr>
          <w:p>
            <w:r>
              <w:rPr>
                <w:sz w:val="20"/>
              </w:rPr>
              <w:t>Percentage of fired alerts that lead to user action</w:t>
            </w:r>
          </w:p>
        </w:tc>
        <w:tc>
          <w:tcPr>
            <w:tcW w:type="dxa" w:w="1701"/>
          </w:tcPr>
          <w:p>
            <w:r>
              <w:rPr>
                <w:sz w:val="20"/>
              </w:rPr>
              <w:t>Above 50 percent</w:t>
            </w:r>
          </w:p>
        </w:tc>
        <w:tc>
          <w:tcPr>
            <w:tcW w:type="dxa" w:w="1417"/>
          </w:tcPr>
          <w:p>
            <w:r>
              <w:rPr>
                <w:sz w:val="20"/>
              </w:rPr>
              <w:t>Q2 post-launch</w:t>
            </w:r>
          </w:p>
        </w:tc>
        <w:tc>
          <w:tcPr>
            <w:tcW w:type="dxa" w:w="1701"/>
          </w:tcPr>
          <w:p>
            <w:r>
              <w:rPr>
                <w:sz w:val="20"/>
              </w:rPr>
              <w:t>Alert interaction events</w:t>
            </w:r>
          </w:p>
        </w:tc>
      </w:tr>
      <w:tr>
        <w:tc>
          <w:tcPr>
            <w:tcW w:type="dxa" w:w="1701"/>
          </w:tcPr>
          <w:p>
            <w:r>
              <w:rPr>
                <w:sz w:val="20"/>
              </w:rPr>
              <w:t>PMF score</w:t>
            </w:r>
          </w:p>
        </w:tc>
        <w:tc>
          <w:tcPr>
            <w:tcW w:type="dxa" w:w="2268"/>
          </w:tcPr>
          <w:p>
            <w:r>
              <w:rPr>
                <w:sz w:val="20"/>
              </w:rPr>
              <w:t>Percentage of active users who say they would be very disappointed if they could no longer use Playsage (Sean Ellis test)</w:t>
            </w:r>
          </w:p>
        </w:tc>
        <w:tc>
          <w:tcPr>
            <w:tcW w:type="dxa" w:w="1701"/>
          </w:tcPr>
          <w:p>
            <w:r>
              <w:rPr>
                <w:sz w:val="20"/>
              </w:rPr>
              <w:t>Above 40 percent</w:t>
            </w:r>
          </w:p>
        </w:tc>
        <w:tc>
          <w:tcPr>
            <w:tcW w:type="dxa" w:w="1417"/>
          </w:tcPr>
          <w:p>
            <w:r>
              <w:rPr>
                <w:sz w:val="20"/>
              </w:rPr>
              <w:t>Beta through V1</w:t>
            </w:r>
          </w:p>
        </w:tc>
        <w:tc>
          <w:tcPr>
            <w:tcW w:type="dxa" w:w="1701"/>
          </w:tcPr>
          <w:p>
            <w:r>
              <w:rPr>
                <w:sz w:val="20"/>
              </w:rPr>
              <w:t>In-app survey (quarterly)</w:t>
            </w:r>
          </w:p>
        </w:tc>
      </w:tr>
      <w:tr>
        <w:tc>
          <w:tcPr>
            <w:tcW w:type="dxa" w:w="1701"/>
          </w:tcPr>
          <w:p>
            <w:r>
              <w:rPr>
                <w:sz w:val="20"/>
              </w:rPr>
              <w:t>NPS</w:t>
            </w:r>
          </w:p>
        </w:tc>
        <w:tc>
          <w:tcPr>
            <w:tcW w:type="dxa" w:w="2268"/>
          </w:tcPr>
          <w:p>
            <w:r>
              <w:rPr>
                <w:sz w:val="20"/>
              </w:rPr>
              <w:t>Net Promoter Score: standard B2B SaaS benchmark</w:t>
            </w:r>
          </w:p>
        </w:tc>
        <w:tc>
          <w:tcPr>
            <w:tcW w:type="dxa" w:w="1701"/>
          </w:tcPr>
          <w:p>
            <w:r>
              <w:rPr>
                <w:sz w:val="20"/>
              </w:rPr>
              <w:t>Above 40</w:t>
            </w:r>
          </w:p>
        </w:tc>
        <w:tc>
          <w:tcPr>
            <w:tcW w:type="dxa" w:w="1417"/>
          </w:tcPr>
          <w:p>
            <w:r>
              <w:rPr>
                <w:sz w:val="20"/>
              </w:rPr>
              <w:t>V1 GA onward (when user base exceeds 50)</w:t>
            </w:r>
          </w:p>
        </w:tc>
        <w:tc>
          <w:tcPr>
            <w:tcW w:type="dxa" w:w="1701"/>
          </w:tcPr>
          <w:p>
            <w:r>
              <w:rPr>
                <w:sz w:val="20"/>
              </w:rPr>
              <w:t>In-app survey (quarterly)</w:t>
            </w:r>
          </w:p>
        </w:tc>
      </w:tr>
      <w:tr>
        <w:tc>
          <w:tcPr>
            <w:tcW w:type="dxa" w:w="1701"/>
          </w:tcPr>
          <w:p>
            <w:r>
              <w:rPr>
                <w:sz w:val="20"/>
              </w:rPr>
              <w:t>Usage decline alert</w:t>
            </w:r>
          </w:p>
        </w:tc>
        <w:tc>
          <w:tcPr>
            <w:tcW w:type="dxa" w:w="2268"/>
          </w:tcPr>
          <w:p>
            <w:r>
              <w:rPr>
                <w:sz w:val="20"/>
              </w:rPr>
              <w:t>Flag accounts where weekly active usage drops below 30 percent of peak for 2 consecutive weeks</w:t>
            </w:r>
          </w:p>
        </w:tc>
        <w:tc>
          <w:tcPr>
            <w:tcW w:type="dxa" w:w="1701"/>
          </w:tcPr>
          <w:p>
            <w:r>
              <w:rPr>
                <w:sz w:val="20"/>
              </w:rPr>
              <w:t>Trigger CS outreach within 48 hours</w:t>
            </w:r>
          </w:p>
        </w:tc>
        <w:tc>
          <w:tcPr>
            <w:tcW w:type="dxa" w:w="1417"/>
          </w:tcPr>
          <w:p>
            <w:r>
              <w:rPr>
                <w:sz w:val="20"/>
              </w:rPr>
              <w:t>Q2 post-launch</w:t>
            </w:r>
          </w:p>
        </w:tc>
        <w:tc>
          <w:tcPr>
            <w:tcW w:type="dxa" w:w="1701"/>
          </w:tcPr>
          <w:p>
            <w:r>
              <w:rPr>
                <w:sz w:val="20"/>
              </w:rPr>
              <w:t>Login and interaction events</w:t>
            </w:r>
          </w:p>
        </w:tc>
      </w:tr>
      <w:tr>
        <w:tc>
          <w:tcPr>
            <w:tcW w:type="dxa" w:w="1701"/>
          </w:tcPr>
          <w:p>
            <w:r>
              <w:rPr>
                <w:sz w:val="20"/>
              </w:rPr>
              <w:t>Revenue (ARR)</w:t>
            </w:r>
          </w:p>
        </w:tc>
        <w:tc>
          <w:tcPr>
            <w:tcW w:type="dxa" w:w="2268"/>
          </w:tcPr>
          <w:p>
            <w:r>
              <w:rPr>
                <w:sz w:val="20"/>
              </w:rPr>
              <w:t>Annual recurring revenue</w:t>
            </w:r>
          </w:p>
        </w:tc>
        <w:tc>
          <w:tcPr>
            <w:tcW w:type="dxa" w:w="1701"/>
          </w:tcPr>
          <w:p>
            <w:r>
              <w:rPr>
                <w:sz w:val="20"/>
              </w:rPr>
              <w:t>$500K to $1.5M (5 to 15 enterprise accounts at $50K to $150K ACV plus Starter and Pro self-serve)</w:t>
            </w:r>
          </w:p>
        </w:tc>
        <w:tc>
          <w:tcPr>
            <w:tcW w:type="dxa" w:w="1417"/>
          </w:tcPr>
          <w:p>
            <w:r>
              <w:rPr>
                <w:sz w:val="20"/>
              </w:rPr>
              <w:t>Year 1</w:t>
            </w:r>
          </w:p>
        </w:tc>
        <w:tc>
          <w:tcPr>
            <w:tcW w:type="dxa" w:w="1701"/>
          </w:tcPr>
          <w:p>
            <w:r>
              <w:rPr>
                <w:sz w:val="20"/>
              </w:rPr>
              <w:t>Billing system</w:t>
            </w:r>
          </w:p>
        </w:tc>
      </w:tr>
    </w:tbl>
    <w:p/>
    <w:p>
      <w:pPr>
        <w:pStyle w:val="Heading1"/>
      </w:pPr>
      <w:r>
        <w:t>12. Roadmap and release plan</w:t>
      </w:r>
    </w:p>
    <w:p>
      <w:r>
        <w:t>The roadmap is structured in outcome-driven phases. Each phase has clear acceptance criteria and risk flags. Progression is gated by demonstrated outcomes, not calendar dates alone.</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701"/>
          </w:tcPr>
          <w:p>
            <w:r>
              <w:rPr>
                <w:b/>
                <w:sz w:val="20"/>
              </w:rPr>
              <w:t>Phase</w:t>
            </w:r>
          </w:p>
        </w:tc>
        <w:tc>
          <w:tcPr>
            <w:tcW w:type="dxa" w:w="2835"/>
          </w:tcPr>
          <w:p>
            <w:r>
              <w:rPr>
                <w:b/>
                <w:sz w:val="20"/>
              </w:rPr>
              <w:t>Scope</w:t>
            </w:r>
          </w:p>
        </w:tc>
        <w:tc>
          <w:tcPr>
            <w:tcW w:type="dxa" w:w="2268"/>
          </w:tcPr>
          <w:p>
            <w:r>
              <w:rPr>
                <w:b/>
                <w:sz w:val="20"/>
              </w:rPr>
              <w:t>Acceptance criteria</w:t>
            </w:r>
          </w:p>
        </w:tc>
        <w:tc>
          <w:tcPr>
            <w:tcW w:type="dxa" w:w="1417"/>
          </w:tcPr>
          <w:p>
            <w:r>
              <w:rPr>
                <w:b/>
                <w:sz w:val="20"/>
              </w:rPr>
              <w:t>Target timeline</w:t>
            </w:r>
          </w:p>
        </w:tc>
        <w:tc>
          <w:tcPr>
            <w:tcW w:type="dxa" w:w="1417"/>
          </w:tcPr>
          <w:p>
            <w:r>
              <w:rPr>
                <w:b/>
                <w:sz w:val="20"/>
              </w:rPr>
              <w:t>Owner</w:t>
            </w:r>
          </w:p>
        </w:tc>
      </w:tr>
      <w:tr>
        <w:tc>
          <w:tcPr>
            <w:tcW w:type="dxa" w:w="1701"/>
          </w:tcPr>
          <w:p>
            <w:r>
              <w:rPr>
                <w:sz w:val="20"/>
              </w:rPr>
              <w:t>Demo MVP (Investor Demo)</w:t>
            </w:r>
          </w:p>
        </w:tc>
        <w:tc>
          <w:tcPr>
            <w:tcW w:type="dxa" w:w="2835"/>
          </w:tcPr>
          <w:p>
            <w:r>
              <w:rPr>
                <w:sz w:val="20"/>
              </w:rPr>
              <w:t>Minimum viable demo: 5 modules live (Market Overview, Competitive Landscape, Foresight with single-lever scenarios, Executive Dashboard, one Sage recommendation card pre-scripted). Others as static mockups. Offline fallback. Seeded data for 50 titles.</w:t>
            </w:r>
          </w:p>
        </w:tc>
        <w:tc>
          <w:tcPr>
            <w:tcW w:type="dxa" w:w="2268"/>
          </w:tcPr>
          <w:p>
            <w:r>
              <w:rPr>
                <w:sz w:val="20"/>
              </w:rPr>
              <w:t>5-minute demo flow with no dead ends; 3 investor questions answered; exports work; forecast backtest shown in Foresight.</w:t>
            </w:r>
          </w:p>
        </w:tc>
        <w:tc>
          <w:tcPr>
            <w:tcW w:type="dxa" w:w="1417"/>
          </w:tcPr>
          <w:p>
            <w:r>
              <w:rPr>
                <w:sz w:val="20"/>
              </w:rPr>
              <w:t>8 to 12 weeks from sprint 1</w:t>
            </w:r>
          </w:p>
        </w:tc>
        <w:tc>
          <w:tcPr>
            <w:tcW w:type="dxa" w:w="1417"/>
          </w:tcPr>
          <w:p>
            <w:r>
              <w:rPr>
                <w:sz w:val="20"/>
              </w:rPr>
              <w:t>Engineering Lead</w:t>
            </w:r>
          </w:p>
        </w:tc>
      </w:tr>
      <w:tr>
        <w:tc>
          <w:tcPr>
            <w:tcW w:type="dxa" w:w="1701"/>
          </w:tcPr>
          <w:p>
            <w:r>
              <w:rPr>
                <w:sz w:val="20"/>
              </w:rPr>
              <w:t>Alpha Complete</w:t>
            </w:r>
          </w:p>
        </w:tc>
        <w:tc>
          <w:tcPr>
            <w:tcW w:type="dxa" w:w="2835"/>
          </w:tcPr>
          <w:p>
            <w:r>
              <w:rPr>
                <w:sz w:val="20"/>
              </w:rPr>
              <w:t>All 20 modules functional with seeded data (10 core plus 10 Human Capital). Full Sage generation pipeline. Multi-lever Foresight scenarios. Collision scoring. Finance module live.</w:t>
            </w:r>
          </w:p>
        </w:tc>
        <w:tc>
          <w:tcPr>
            <w:tcW w:type="dxa" w:w="2268"/>
          </w:tcPr>
          <w:p>
            <w:r>
              <w:rPr>
                <w:sz w:val="20"/>
              </w:rPr>
              <w:t>All modules functional; acceptance criteria met for all features.</w:t>
            </w:r>
          </w:p>
        </w:tc>
        <w:tc>
          <w:tcPr>
            <w:tcW w:type="dxa" w:w="1417"/>
          </w:tcPr>
          <w:p>
            <w:r>
              <w:rPr>
                <w:sz w:val="20"/>
              </w:rPr>
              <w:t>4 to 6 weeks after Demo MVP</w:t>
            </w:r>
          </w:p>
        </w:tc>
        <w:tc>
          <w:tcPr>
            <w:tcW w:type="dxa" w:w="1417"/>
          </w:tcPr>
          <w:p>
            <w:r>
              <w:rPr>
                <w:sz w:val="20"/>
              </w:rPr>
              <w:t>Engineering Lead</w:t>
            </w:r>
          </w:p>
        </w:tc>
      </w:tr>
      <w:tr>
        <w:tc>
          <w:tcPr>
            <w:tcW w:type="dxa" w:w="1701"/>
          </w:tcPr>
          <w:p>
            <w:r>
              <w:rPr>
                <w:sz w:val="20"/>
              </w:rPr>
              <w:t>Beta (Early Access)</w:t>
            </w:r>
          </w:p>
        </w:tc>
        <w:tc>
          <w:tcPr>
            <w:tcW w:type="dxa" w:w="2835"/>
          </w:tcPr>
          <w:p>
            <w:r>
              <w:rPr>
                <w:sz w:val="20"/>
              </w:rPr>
              <w:t>Expand catalog to 200+ titles. API v1. Slack/Teams alerts. 3 to 5 pilot studios. NBI Human Capital pilot with 1 to 2 enterprise studios.</w:t>
            </w:r>
          </w:p>
        </w:tc>
        <w:tc>
          <w:tcPr>
            <w:tcW w:type="dxa" w:w="2268"/>
          </w:tcPr>
          <w:p>
            <w:r>
              <w:rPr>
                <w:sz w:val="20"/>
              </w:rPr>
              <w:t>3 of 5 pilot studios report Playsage has replaced at least one existing tool in their workflow. Quantitative PMF measurement begins at GA.</w:t>
            </w:r>
          </w:p>
        </w:tc>
        <w:tc>
          <w:tcPr>
            <w:tcW w:type="dxa" w:w="1417"/>
          </w:tcPr>
          <w:p>
            <w:r>
              <w:rPr>
                <w:sz w:val="20"/>
              </w:rPr>
              <w:t>3 to 4 months post Alpha Complete</w:t>
            </w:r>
          </w:p>
        </w:tc>
        <w:tc>
          <w:tcPr>
            <w:tcW w:type="dxa" w:w="1417"/>
          </w:tcPr>
          <w:p>
            <w:r>
              <w:rPr>
                <w:sz w:val="20"/>
              </w:rPr>
              <w:t>Product Lead</w:t>
            </w:r>
          </w:p>
        </w:tc>
      </w:tr>
      <w:tr>
        <w:tc>
          <w:tcPr>
            <w:tcW w:type="dxa" w:w="1701"/>
          </w:tcPr>
          <w:p>
            <w:r>
              <w:rPr>
                <w:sz w:val="20"/>
              </w:rPr>
              <w:t>V1 (GA)</w:t>
            </w:r>
          </w:p>
        </w:tc>
        <w:tc>
          <w:tcPr>
            <w:tcW w:type="dxa" w:w="2835"/>
          </w:tcPr>
          <w:p>
            <w:r>
              <w:rPr>
                <w:sz w:val="20"/>
              </w:rPr>
              <w:t>Full catalog. BI connectors. Enhanced Sage. Country-level IAP affordability.</w:t>
            </w:r>
          </w:p>
        </w:tc>
        <w:tc>
          <w:tcPr>
            <w:tcW w:type="dxa" w:w="2268"/>
          </w:tcPr>
          <w:p>
            <w:r>
              <w:rPr>
                <w:sz w:val="20"/>
              </w:rPr>
              <w:t>Activation above 40 percent; weekly active above 60 percent; ARR tracking.</w:t>
            </w:r>
          </w:p>
        </w:tc>
        <w:tc>
          <w:tcPr>
            <w:tcW w:type="dxa" w:w="1417"/>
          </w:tcPr>
          <w:p>
            <w:r>
              <w:rPr>
                <w:sz w:val="20"/>
              </w:rPr>
              <w:t>3 to 5 months post Beta</w:t>
            </w:r>
          </w:p>
        </w:tc>
        <w:tc>
          <w:tcPr>
            <w:tcW w:type="dxa" w:w="1417"/>
          </w:tcPr>
          <w:p>
            <w:r>
              <w:rPr>
                <w:sz w:val="20"/>
              </w:rPr>
              <w:t>CEO</w:t>
            </w:r>
          </w:p>
        </w:tc>
      </w:tr>
      <w:tr>
        <w:tc>
          <w:tcPr>
            <w:tcW w:type="dxa" w:w="1701"/>
          </w:tcPr>
          <w:p>
            <w:r>
              <w:rPr>
                <w:sz w:val="20"/>
              </w:rPr>
              <w:t>V2 (Scale)</w:t>
            </w:r>
          </w:p>
        </w:tc>
        <w:tc>
          <w:tcPr>
            <w:tcW w:type="dxa" w:w="2835"/>
          </w:tcPr>
          <w:p>
            <w:r>
              <w:rPr>
                <w:sz w:val="20"/>
              </w:rPr>
              <w:t>Sage with bandit/RL. Experiment design. Social sentiment. Studio-private data ingestion.</w:t>
            </w:r>
          </w:p>
        </w:tc>
        <w:tc>
          <w:tcPr>
            <w:tcW w:type="dxa" w:w="2268"/>
          </w:tcPr>
          <w:p>
            <w:r>
              <w:rPr>
                <w:sz w:val="20"/>
              </w:rPr>
              <w:t>Sage learning loop improves; enterprise SLA met.</w:t>
            </w:r>
          </w:p>
        </w:tc>
        <w:tc>
          <w:tcPr>
            <w:tcW w:type="dxa" w:w="1417"/>
          </w:tcPr>
          <w:p>
            <w:r>
              <w:rPr>
                <w:sz w:val="20"/>
              </w:rPr>
              <w:t>Post GA</w:t>
            </w:r>
          </w:p>
        </w:tc>
        <w:tc>
          <w:tcPr>
            <w:tcW w:type="dxa" w:w="1417"/>
          </w:tcPr>
          <w:p>
            <w:r>
              <w:rPr>
                <w:sz w:val="20"/>
              </w:rPr>
              <w:t>Product Lead</w:t>
            </w:r>
          </w:p>
        </w:tc>
      </w:tr>
    </w:tbl>
    <w:p/>
    <w:p>
      <w:r>
        <w:t>Team requirements by phase: Demo MVP: 2 engineers, 1 data scientist, 1 designer, 1 product (existing team). Beta: add 1 to 2 engineers and 1 customer success. GA: add 2 engineers, 1 sales (AE), and 1 marketing.</w:t>
      </w:r>
    </w:p>
    <w:p>
      <w:pPr>
        <w:pStyle w:val="Heading1"/>
      </w:pPr>
      <w:r>
        <w:t>13. Go to market</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701"/>
          </w:tcPr>
          <w:p>
            <w:r>
              <w:rPr>
                <w:b/>
                <w:sz w:val="20"/>
              </w:rPr>
              <w:t>Audience</w:t>
            </w:r>
          </w:p>
        </w:tc>
        <w:tc>
          <w:tcPr>
            <w:tcW w:type="dxa" w:w="2268"/>
          </w:tcPr>
          <w:p>
            <w:r>
              <w:rPr>
                <w:b/>
                <w:sz w:val="20"/>
              </w:rPr>
              <w:t>Message</w:t>
            </w:r>
          </w:p>
        </w:tc>
        <w:tc>
          <w:tcPr>
            <w:tcW w:type="dxa" w:w="2268"/>
          </w:tcPr>
          <w:p>
            <w:r>
              <w:rPr>
                <w:b/>
                <w:sz w:val="20"/>
              </w:rPr>
              <w:t>Proof points</w:t>
            </w:r>
          </w:p>
        </w:tc>
        <w:tc>
          <w:tcPr>
            <w:tcW w:type="dxa" w:w="1984"/>
          </w:tcPr>
          <w:p>
            <w:r>
              <w:rPr>
                <w:b/>
                <w:sz w:val="20"/>
              </w:rPr>
              <w:t>Channel and tactic</w:t>
            </w:r>
          </w:p>
        </w:tc>
        <w:tc>
          <w:tcPr>
            <w:tcW w:type="dxa" w:w="1417"/>
          </w:tcPr>
          <w:p>
            <w:r>
              <w:rPr>
                <w:b/>
                <w:sz w:val="20"/>
              </w:rPr>
              <w:t>Owner</w:t>
            </w:r>
          </w:p>
        </w:tc>
      </w:tr>
      <w:tr>
        <w:tc>
          <w:tcPr>
            <w:tcW w:type="dxa" w:w="1701"/>
          </w:tcPr>
          <w:p>
            <w:r>
              <w:rPr>
                <w:sz w:val="20"/>
              </w:rPr>
              <w:t>Studio Decision-Makers (CEO to VP)</w:t>
            </w:r>
          </w:p>
        </w:tc>
        <w:tc>
          <w:tcPr>
            <w:tcW w:type="dxa" w:w="2268"/>
          </w:tcPr>
          <w:p>
            <w:r>
              <w:rPr>
                <w:sz w:val="20"/>
              </w:rPr>
              <w:t>Make decisions faster with traceable, cross-platform evidence and scenario planning.</w:t>
            </w:r>
          </w:p>
        </w:tc>
        <w:tc>
          <w:tcPr>
            <w:tcW w:type="dxa" w:w="2268"/>
          </w:tcPr>
          <w:p>
            <w:r>
              <w:rPr>
                <w:sz w:val="20"/>
              </w:rPr>
              <w:t>Demo: 3 questions answered in 5 minutes; forecast accuracy shown; Sage recommendations with lift ranges.</w:t>
            </w:r>
          </w:p>
        </w:tc>
        <w:tc>
          <w:tcPr>
            <w:tcW w:type="dxa" w:w="1984"/>
          </w:tcPr>
          <w:p>
            <w:r>
              <w:rPr>
                <w:sz w:val="20"/>
              </w:rPr>
              <w:t>Founder calls; targeted webinars; conference demos (GDC, Gamescom, PGC)</w:t>
            </w:r>
          </w:p>
        </w:tc>
        <w:tc>
          <w:tcPr>
            <w:tcW w:type="dxa" w:w="1417"/>
          </w:tcPr>
          <w:p>
            <w:r>
              <w:rPr>
                <w:sz w:val="20"/>
              </w:rPr>
              <w:t>CEO / Growth Lead</w:t>
            </w:r>
          </w:p>
        </w:tc>
      </w:tr>
      <w:tr>
        <w:tc>
          <w:tcPr>
            <w:tcW w:type="dxa" w:w="1701"/>
          </w:tcPr>
          <w:p>
            <w:r>
              <w:rPr>
                <w:sz w:val="20"/>
              </w:rPr>
              <w:t>Live-ops Directors, PMs, and Marketing/UA</w:t>
            </w:r>
          </w:p>
        </w:tc>
        <w:tc>
          <w:tcPr>
            <w:tcW w:type="dxa" w:w="2268"/>
          </w:tcPr>
          <w:p>
            <w:r>
              <w:rPr>
                <w:sz w:val="20"/>
              </w:rPr>
              <w:t>Stop guessing on cadence, pricing, timing, and campaign alignment. Playsage shows what to do, when, and why.</w:t>
            </w:r>
          </w:p>
        </w:tc>
        <w:tc>
          <w:tcPr>
            <w:tcW w:type="dxa" w:w="2268"/>
          </w:tcPr>
          <w:p>
            <w:r>
              <w:rPr>
                <w:sz w:val="20"/>
              </w:rPr>
              <w:t>Sentiment-to-action in hours not days; scenario modelling with quantified outcomes; Release Radar for campaign timing.</w:t>
            </w:r>
          </w:p>
        </w:tc>
        <w:tc>
          <w:tcPr>
            <w:tcW w:type="dxa" w:w="1984"/>
          </w:tcPr>
          <w:p>
            <w:r>
              <w:rPr>
                <w:sz w:val="20"/>
              </w:rPr>
              <w:t>Product-led content; case studies; community outreach; joint sessions with marketing leads</w:t>
            </w:r>
          </w:p>
        </w:tc>
        <w:tc>
          <w:tcPr>
            <w:tcW w:type="dxa" w:w="1417"/>
          </w:tcPr>
          <w:p>
            <w:r>
              <w:rPr>
                <w:sz w:val="20"/>
              </w:rPr>
              <w:t>Product Marketing</w:t>
            </w:r>
          </w:p>
        </w:tc>
      </w:tr>
      <w:tr>
        <w:tc>
          <w:tcPr>
            <w:tcW w:type="dxa" w:w="1701"/>
          </w:tcPr>
          <w:p>
            <w:r>
              <w:rPr>
                <w:sz w:val="20"/>
              </w:rPr>
              <w:t>Analysts, Economy Designers, and Marketing Analysts</w:t>
            </w:r>
          </w:p>
        </w:tc>
        <w:tc>
          <w:tcPr>
            <w:tcW w:type="dxa" w:w="2268"/>
          </w:tcPr>
          <w:p>
            <w:r>
              <w:rPr>
                <w:sz w:val="20"/>
              </w:rPr>
              <w:t>One tool instead of five. Unified data, flexible exports, API access, and sentiment trends for campaign analysis.</w:t>
            </w:r>
          </w:p>
        </w:tc>
        <w:tc>
          <w:tcPr>
            <w:tcW w:type="dxa" w:w="2268"/>
          </w:tcPr>
          <w:p>
            <w:r>
              <w:rPr>
                <w:sz w:val="20"/>
              </w:rPr>
              <w:t>Cross-store normalisation proof; export parity; API response matching UI.</w:t>
            </w:r>
          </w:p>
        </w:tc>
        <w:tc>
          <w:tcPr>
            <w:tcW w:type="dxa" w:w="1984"/>
          </w:tcPr>
          <w:p>
            <w:r>
              <w:rPr>
                <w:sz w:val="20"/>
              </w:rPr>
              <w:t>Developer relations; documentation; free tier / self-serve</w:t>
            </w:r>
          </w:p>
        </w:tc>
        <w:tc>
          <w:tcPr>
            <w:tcW w:type="dxa" w:w="1417"/>
          </w:tcPr>
          <w:p>
            <w:r>
              <w:rPr>
                <w:sz w:val="20"/>
              </w:rPr>
              <w:t>Product Marketing</w:t>
            </w:r>
          </w:p>
        </w:tc>
      </w:tr>
      <w:tr>
        <w:tc>
          <w:tcPr>
            <w:tcW w:type="dxa" w:w="1701"/>
          </w:tcPr>
          <w:p>
            <w:r>
              <w:rPr>
                <w:sz w:val="20"/>
              </w:rPr>
              <w:t>Investors</w:t>
            </w:r>
          </w:p>
        </w:tc>
        <w:tc>
          <w:tcPr>
            <w:tcW w:type="dxa" w:w="2268"/>
          </w:tcPr>
          <w:p>
            <w:r>
              <w:rPr>
                <w:sz w:val="20"/>
              </w:rPr>
              <w:t>Playsage is the intelligence layer for games that no one else has built end-to-end. Post Sensor Tower/data.ai merger, the market needs a cross-platform alternative.</w:t>
            </w:r>
          </w:p>
        </w:tc>
        <w:tc>
          <w:tcPr>
            <w:tcW w:type="dxa" w:w="2268"/>
          </w:tcPr>
          <w:p>
            <w:r>
              <w:rPr>
                <w:sz w:val="20"/>
              </w:rPr>
              <w:t>Investor demo; competitive differentiation; TAM/SAM analysis; pilot traction; merger opportunity narrative.</w:t>
            </w:r>
          </w:p>
        </w:tc>
        <w:tc>
          <w:tcPr>
            <w:tcW w:type="dxa" w:w="1984"/>
          </w:tcPr>
          <w:p>
            <w:r>
              <w:rPr>
                <w:sz w:val="20"/>
              </w:rPr>
              <w:t>Investor meetings; pitch materials; warm introductions</w:t>
            </w:r>
          </w:p>
        </w:tc>
        <w:tc>
          <w:tcPr>
            <w:tcW w:type="dxa" w:w="1417"/>
          </w:tcPr>
          <w:p>
            <w:r>
              <w:rPr>
                <w:sz w:val="20"/>
              </w:rPr>
              <w:t>CEO</w:t>
            </w:r>
          </w:p>
        </w:tc>
      </w:tr>
    </w:tbl>
    <w:p/>
    <w:p>
      <w:r>
        <w:t>Estimated customer acquisition cost by channel: founder calls $0 marginal cost (limited scale), conferences $5,000 to $15,000 per qualified lead, content and inbound $1,000 to $3,000 per qualified lead at scale. Target blended CAC: below $5,000.</w:t>
      </w:r>
    </w:p>
    <w:p>
      <w:r>
        <w:t>Sales model progression: Alpha and Beta founder-led sales (CEO direct outreach); GA hire first AE and SDR to build repeatable enterprise motion.</w:t>
      </w:r>
    </w:p>
    <w:p>
      <w:r>
        <w:t>Partnerships (V1 onward): explore referral agreements with game industry consultants, outsourcing studios, and investment banks active in games M&amp;A.</w:t>
      </w:r>
    </w:p>
    <w:p>
      <w:pPr>
        <w:pStyle w:val="Heading1"/>
      </w:pPr>
      <w:r>
        <w:t>14. Security, compliance, SLA and support</w:t>
      </w:r>
    </w:p>
    <w:p>
      <w:r>
        <w:rPr>
          <w:b/>
        </w:rPr>
        <w:t xml:space="preserve">Standards and certifications: </w:t>
      </w:r>
      <w:r>
        <w:t>SOC 2 Type II targeted for V1 GA (requires 6 to 12 months of operational evidence; audit engagement to begin at Beta launch to ensure readiness by GA). GDPR compliant from launch. No PII ingested from public game data. Human Capital data subject to GDPR data processing agreements with each customer.</w:t>
      </w:r>
    </w:p>
    <w:p>
      <w:r>
        <w:rPr>
          <w:b/>
        </w:rPr>
        <w:t xml:space="preserve">Data residency: </w:t>
      </w:r>
      <w:r>
        <w:t>v1: single-region deployment (US). Enterprise tier: EU data residency option targeted for V1 GA.</w:t>
      </w:r>
    </w:p>
    <w:p>
      <w:r>
        <w:rPr>
          <w:b/>
        </w:rPr>
        <w:t xml:space="preserve">Penetration testing: </w:t>
      </w:r>
      <w:r>
        <w:t>Annual third-party penetration test beginning at GA. Results shared with Enterprise customers under NDA.</w:t>
      </w:r>
    </w:p>
    <w:p>
      <w:r>
        <w:rPr>
          <w:b/>
        </w:rPr>
        <w:t xml:space="preserve">Data retention and deletion: </w:t>
      </w:r>
      <w:r>
        <w:t>KPI and forecast data retained for 5 years. Alert and Sage logs retained for 2 years. Human Capital data retained per customer agreement. User account data deleted on request within 30 days.</w:t>
      </w:r>
    </w:p>
    <w:p>
      <w:r>
        <w:rPr>
          <w:b/>
        </w:rPr>
        <w:t xml:space="preserve">Incident response: </w:t>
      </w:r>
      <w:r>
        <w:t>Detection via observability stack with automated alerts. Response target: acknowledge within 1 hour for severity 1, 4 hours for severity 2. Ownership: Engineering Lead for infrastructure, Product Lead for data quality.</w:t>
      </w:r>
    </w:p>
    <w:p>
      <w:r>
        <w:rPr>
          <w:b/>
        </w:rPr>
        <w:t xml:space="preserve">SLA targets: </w:t>
      </w:r>
      <w:r>
        <w:t>99.5 percent uptime for web application. API availability 99.9 percent (post-GA). Data freshness: daily signals refreshed by 09:00 UTC.</w:t>
      </w:r>
    </w:p>
    <w:p>
      <w:r>
        <w:rPr>
          <w:b/>
        </w:rPr>
        <w:t xml:space="preserve">Support model: </w:t>
      </w:r>
      <w:r>
        <w:t>Starter tier: email support, 48-hour response. Pro tier: email and chat, 24-hour response, priority queue. Enterprise: dedicated CSM, 4-hour response for critical issues, Slack channel.</w:t>
      </w:r>
    </w:p>
    <w:p>
      <w:pPr>
        <w:pStyle w:val="Heading1"/>
      </w:pPr>
      <w:r>
        <w:t>15. Risks, assumptions, dependencies, decisions</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134"/>
          </w:tcPr>
          <w:p>
            <w:r>
              <w:rPr>
                <w:b/>
                <w:sz w:val="20"/>
              </w:rPr>
              <w:t>Type</w:t>
            </w:r>
          </w:p>
        </w:tc>
        <w:tc>
          <w:tcPr>
            <w:tcW w:type="dxa" w:w="2551"/>
          </w:tcPr>
          <w:p>
            <w:r>
              <w:rPr>
                <w:b/>
                <w:sz w:val="20"/>
              </w:rPr>
              <w:t>Description</w:t>
            </w:r>
          </w:p>
        </w:tc>
        <w:tc>
          <w:tcPr>
            <w:tcW w:type="dxa" w:w="1701"/>
          </w:tcPr>
          <w:p>
            <w:r>
              <w:rPr>
                <w:b/>
                <w:sz w:val="20"/>
              </w:rPr>
              <w:t>Impact and likelihood</w:t>
            </w:r>
          </w:p>
        </w:tc>
        <w:tc>
          <w:tcPr>
            <w:tcW w:type="dxa" w:w="2268"/>
          </w:tcPr>
          <w:p>
            <w:r>
              <w:rPr>
                <w:b/>
                <w:sz w:val="20"/>
              </w:rPr>
              <w:t>Mitigation</w:t>
            </w:r>
          </w:p>
        </w:tc>
        <w:tc>
          <w:tcPr>
            <w:tcW w:type="dxa" w:w="1417"/>
          </w:tcPr>
          <w:p>
            <w:r>
              <w:rPr>
                <w:b/>
                <w:sz w:val="20"/>
              </w:rPr>
              <w:t>Owner</w:t>
            </w:r>
          </w:p>
        </w:tc>
      </w:tr>
      <w:tr>
        <w:tc>
          <w:tcPr>
            <w:tcW w:type="dxa" w:w="1134"/>
          </w:tcPr>
          <w:p>
            <w:r>
              <w:rPr>
                <w:sz w:val="20"/>
              </w:rPr>
              <w:t>Risk</w:t>
            </w:r>
          </w:p>
        </w:tc>
        <w:tc>
          <w:tcPr>
            <w:tcW w:type="dxa" w:w="2551"/>
          </w:tcPr>
          <w:p>
            <w:r>
              <w:rPr>
                <w:sz w:val="20"/>
              </w:rPr>
              <w:t>Third-party data source changes API terms or access</w:t>
            </w:r>
          </w:p>
        </w:tc>
        <w:tc>
          <w:tcPr>
            <w:tcW w:type="dxa" w:w="1701"/>
          </w:tcPr>
          <w:p>
            <w:r>
              <w:rPr>
                <w:sz w:val="20"/>
              </w:rPr>
              <w:t>High impact, medium likelihood</w:t>
            </w:r>
          </w:p>
        </w:tc>
        <w:tc>
          <w:tcPr>
            <w:tcW w:type="dxa" w:w="2268"/>
          </w:tcPr>
          <w:p>
            <w:r>
              <w:rPr>
                <w:sz w:val="20"/>
              </w:rPr>
              <w:t>Secondary provider fallback; local cache strategy; diversify sources</w:t>
            </w:r>
          </w:p>
        </w:tc>
        <w:tc>
          <w:tcPr>
            <w:tcW w:type="dxa" w:w="1417"/>
          </w:tcPr>
          <w:p>
            <w:r>
              <w:rPr>
                <w:sz w:val="20"/>
              </w:rPr>
              <w:t>Data Engineering</w:t>
            </w:r>
          </w:p>
        </w:tc>
      </w:tr>
      <w:tr>
        <w:tc>
          <w:tcPr>
            <w:tcW w:type="dxa" w:w="1134"/>
          </w:tcPr>
          <w:p>
            <w:r>
              <w:rPr>
                <w:sz w:val="20"/>
              </w:rPr>
              <w:t>Risk</w:t>
            </w:r>
          </w:p>
        </w:tc>
        <w:tc>
          <w:tcPr>
            <w:tcW w:type="dxa" w:w="2551"/>
          </w:tcPr>
          <w:p>
            <w:r>
              <w:rPr>
                <w:sz w:val="20"/>
              </w:rPr>
              <w:t>Sensor Tower/data.ai merger consolidates data access and raises prices for underlying data</w:t>
            </w:r>
          </w:p>
        </w:tc>
        <w:tc>
          <w:tcPr>
            <w:tcW w:type="dxa" w:w="1701"/>
          </w:tcPr>
          <w:p>
            <w:r>
              <w:rPr>
                <w:sz w:val="20"/>
              </w:rPr>
              <w:t>Medium impact, high likelihood</w:t>
            </w:r>
          </w:p>
        </w:tc>
        <w:tc>
          <w:tcPr>
            <w:tcW w:type="dxa" w:w="2268"/>
          </w:tcPr>
          <w:p>
            <w:r>
              <w:rPr>
                <w:sz w:val="20"/>
              </w:rPr>
              <w:t>Build proprietary data ingestion; reduce dependence on any single vendor</w:t>
            </w:r>
          </w:p>
        </w:tc>
        <w:tc>
          <w:tcPr>
            <w:tcW w:type="dxa" w:w="1417"/>
          </w:tcPr>
          <w:p>
            <w:r>
              <w:rPr>
                <w:sz w:val="20"/>
              </w:rPr>
              <w:t>Data Engineering</w:t>
            </w:r>
          </w:p>
        </w:tc>
      </w:tr>
      <w:tr>
        <w:tc>
          <w:tcPr>
            <w:tcW w:type="dxa" w:w="1134"/>
          </w:tcPr>
          <w:p>
            <w:r>
              <w:rPr>
                <w:sz w:val="20"/>
              </w:rPr>
              <w:t>Risk</w:t>
            </w:r>
          </w:p>
        </w:tc>
        <w:tc>
          <w:tcPr>
            <w:tcW w:type="dxa" w:w="2551"/>
          </w:tcPr>
          <w:p>
            <w:r>
              <w:rPr>
                <w:sz w:val="20"/>
              </w:rPr>
              <w:t>Public data gaps reduce accuracy of estimated metrics</w:t>
            </w:r>
          </w:p>
        </w:tc>
        <w:tc>
          <w:tcPr>
            <w:tcW w:type="dxa" w:w="1701"/>
          </w:tcPr>
          <w:p>
            <w:r>
              <w:rPr>
                <w:sz w:val="20"/>
              </w:rPr>
              <w:t>High impact, high likelihood for some titles</w:t>
            </w:r>
          </w:p>
        </w:tc>
        <w:tc>
          <w:tcPr>
            <w:tcW w:type="dxa" w:w="2268"/>
          </w:tcPr>
          <w:p>
            <w:r>
              <w:rPr>
                <w:sz w:val="20"/>
              </w:rPr>
              <w:t>Blended estimates with conservative ranges; visible Estimated labels; backtest context</w:t>
            </w:r>
          </w:p>
        </w:tc>
        <w:tc>
          <w:tcPr>
            <w:tcW w:type="dxa" w:w="1417"/>
          </w:tcPr>
          <w:p>
            <w:r>
              <w:rPr>
                <w:sz w:val="20"/>
              </w:rPr>
              <w:t>Data Science</w:t>
            </w:r>
          </w:p>
        </w:tc>
      </w:tr>
      <w:tr>
        <w:tc>
          <w:tcPr>
            <w:tcW w:type="dxa" w:w="1134"/>
          </w:tcPr>
          <w:p>
            <w:r>
              <w:rPr>
                <w:sz w:val="20"/>
              </w:rPr>
              <w:t>Risk</w:t>
            </w:r>
          </w:p>
        </w:tc>
        <w:tc>
          <w:tcPr>
            <w:tcW w:type="dxa" w:w="2551"/>
          </w:tcPr>
          <w:p>
            <w:r>
              <w:rPr>
                <w:sz w:val="20"/>
              </w:rPr>
              <w:t>Latency during live investor demo</w:t>
            </w:r>
          </w:p>
        </w:tc>
        <w:tc>
          <w:tcPr>
            <w:tcW w:type="dxa" w:w="1701"/>
          </w:tcPr>
          <w:p>
            <w:r>
              <w:rPr>
                <w:sz w:val="20"/>
              </w:rPr>
              <w:t>High impact, medium likelihood</w:t>
            </w:r>
          </w:p>
        </w:tc>
        <w:tc>
          <w:tcPr>
            <w:tcW w:type="dxa" w:w="2268"/>
          </w:tcPr>
          <w:p>
            <w:r>
              <w:rPr>
                <w:sz w:val="20"/>
              </w:rPr>
              <w:t>Precompute heavy tiles; offline fallback for top 3 views; rehearsal runs</w:t>
            </w:r>
          </w:p>
        </w:tc>
        <w:tc>
          <w:tcPr>
            <w:tcW w:type="dxa" w:w="1417"/>
          </w:tcPr>
          <w:p>
            <w:r>
              <w:rPr>
                <w:sz w:val="20"/>
              </w:rPr>
              <w:t>Engineering Lead</w:t>
            </w:r>
          </w:p>
        </w:tc>
      </w:tr>
      <w:tr>
        <w:tc>
          <w:tcPr>
            <w:tcW w:type="dxa" w:w="1134"/>
          </w:tcPr>
          <w:p>
            <w:r>
              <w:rPr>
                <w:sz w:val="20"/>
              </w:rPr>
              <w:t>Risk</w:t>
            </w:r>
          </w:p>
        </w:tc>
        <w:tc>
          <w:tcPr>
            <w:tcW w:type="dxa" w:w="2551"/>
          </w:tcPr>
          <w:p>
            <w:r>
              <w:rPr>
                <w:sz w:val="20"/>
              </w:rPr>
              <w:t>Key person dependency on small team (high bus factor)</w:t>
            </w:r>
          </w:p>
        </w:tc>
        <w:tc>
          <w:tcPr>
            <w:tcW w:type="dxa" w:w="1701"/>
          </w:tcPr>
          <w:p>
            <w:r>
              <w:rPr>
                <w:sz w:val="20"/>
              </w:rPr>
              <w:t>High impact, medium likelihood</w:t>
            </w:r>
          </w:p>
        </w:tc>
        <w:tc>
          <w:tcPr>
            <w:tcW w:type="dxa" w:w="2268"/>
          </w:tcPr>
          <w:p>
            <w:r>
              <w:rPr>
                <w:sz w:val="20"/>
              </w:rPr>
              <w:t>Document all models, pipelines, and architecture decisions. Cross-train on critical systems.</w:t>
            </w:r>
          </w:p>
        </w:tc>
        <w:tc>
          <w:tcPr>
            <w:tcW w:type="dxa" w:w="1417"/>
          </w:tcPr>
          <w:p>
            <w:r>
              <w:rPr>
                <w:sz w:val="20"/>
              </w:rPr>
              <w:t>Engineering Lead</w:t>
            </w:r>
          </w:p>
        </w:tc>
      </w:tr>
      <w:tr>
        <w:tc>
          <w:tcPr>
            <w:tcW w:type="dxa" w:w="1134"/>
          </w:tcPr>
          <w:p>
            <w:r>
              <w:rPr>
                <w:sz w:val="20"/>
              </w:rPr>
              <w:t>Risk</w:t>
            </w:r>
          </w:p>
        </w:tc>
        <w:tc>
          <w:tcPr>
            <w:tcW w:type="dxa" w:w="2551"/>
          </w:tcPr>
          <w:p>
            <w:r>
              <w:rPr>
                <w:sz w:val="20"/>
              </w:rPr>
              <w:t>Store Terms of Service restrict data scraping (App Store, Google Play, Metacritic). Could lose primary data source.</w:t>
            </w:r>
          </w:p>
        </w:tc>
        <w:tc>
          <w:tcPr>
            <w:tcW w:type="dxa" w:w="1701"/>
          </w:tcPr>
          <w:p>
            <w:r>
              <w:rPr>
                <w:sz w:val="20"/>
              </w:rPr>
              <w:t>High impact, medium likelihood</w:t>
            </w:r>
          </w:p>
        </w:tc>
        <w:tc>
          <w:tcPr>
            <w:tcW w:type="dxa" w:w="2268"/>
          </w:tcPr>
          <w:p>
            <w:r>
              <w:rPr>
                <w:sz w:val="20"/>
              </w:rPr>
              <w:t>Use official APIs where available; legal review of scraping practices; diversify to panel-based data sources as backup.</w:t>
            </w:r>
          </w:p>
        </w:tc>
        <w:tc>
          <w:tcPr>
            <w:tcW w:type="dxa" w:w="1417"/>
          </w:tcPr>
          <w:p>
            <w:r>
              <w:rPr>
                <w:sz w:val="20"/>
              </w:rPr>
              <w:t>Legal / Data Engineering</w:t>
            </w:r>
          </w:p>
        </w:tc>
      </w:tr>
      <w:tr>
        <w:tc>
          <w:tcPr>
            <w:tcW w:type="dxa" w:w="1134"/>
          </w:tcPr>
          <w:p>
            <w:r>
              <w:rPr>
                <w:sz w:val="20"/>
              </w:rPr>
              <w:t>Assumption</w:t>
            </w:r>
          </w:p>
        </w:tc>
        <w:tc>
          <w:tcPr>
            <w:tcW w:type="dxa" w:w="2551"/>
          </w:tcPr>
          <w:p>
            <w:r>
              <w:rPr>
                <w:sz w:val="20"/>
              </w:rPr>
              <w:t>Studios across the size spectrum will pay for cross-platform intelligence with a recommendation layer</w:t>
            </w:r>
          </w:p>
        </w:tc>
        <w:tc>
          <w:tcPr>
            <w:tcW w:type="dxa" w:w="1701"/>
          </w:tcPr>
          <w:p>
            <w:r>
              <w:rPr>
                <w:sz w:val="20"/>
              </w:rPr>
              <w:t>Core to business model</w:t>
            </w:r>
          </w:p>
        </w:tc>
        <w:tc>
          <w:tcPr>
            <w:tcW w:type="dxa" w:w="2268"/>
          </w:tcPr>
          <w:p>
            <w:r>
              <w:rPr>
                <w:sz w:val="20"/>
              </w:rPr>
              <w:t>Validate with pilot pricing conversations; willingness-to-pay interviews across indie, AA, AAA segments</w:t>
            </w:r>
          </w:p>
        </w:tc>
        <w:tc>
          <w:tcPr>
            <w:tcW w:type="dxa" w:w="1417"/>
          </w:tcPr>
          <w:p>
            <w:r>
              <w:rPr>
                <w:sz w:val="20"/>
              </w:rPr>
              <w:t>CEO</w:t>
            </w:r>
          </w:p>
        </w:tc>
      </w:tr>
      <w:tr>
        <w:tc>
          <w:tcPr>
            <w:tcW w:type="dxa" w:w="1134"/>
          </w:tcPr>
          <w:p>
            <w:r>
              <w:rPr>
                <w:sz w:val="20"/>
              </w:rPr>
              <w:t>Assumption</w:t>
            </w:r>
          </w:p>
        </w:tc>
        <w:tc>
          <w:tcPr>
            <w:tcW w:type="dxa" w:w="2551"/>
          </w:tcPr>
          <w:p>
            <w:r>
              <w:rPr>
                <w:sz w:val="20"/>
              </w:rPr>
              <w:t>Public data proxies are accurate enough for decision-making</w:t>
            </w:r>
          </w:p>
        </w:tc>
        <w:tc>
          <w:tcPr>
            <w:tcW w:type="dxa" w:w="1701"/>
          </w:tcPr>
          <w:p>
            <w:r>
              <w:rPr>
                <w:sz w:val="20"/>
              </w:rPr>
              <w:t>Core to product value</w:t>
            </w:r>
          </w:p>
        </w:tc>
        <w:tc>
          <w:tcPr>
            <w:tcW w:type="dxa" w:w="2268"/>
          </w:tcPr>
          <w:p>
            <w:r>
              <w:rPr>
                <w:sz w:val="20"/>
              </w:rPr>
              <w:t>Transparent methodology; backtest metrics; Estimated labels build trust</w:t>
            </w:r>
          </w:p>
        </w:tc>
        <w:tc>
          <w:tcPr>
            <w:tcW w:type="dxa" w:w="1417"/>
          </w:tcPr>
          <w:p>
            <w:r>
              <w:rPr>
                <w:sz w:val="20"/>
              </w:rPr>
              <w:t>Data Science</w:t>
            </w:r>
          </w:p>
        </w:tc>
      </w:tr>
      <w:tr>
        <w:tc>
          <w:tcPr>
            <w:tcW w:type="dxa" w:w="1134"/>
          </w:tcPr>
          <w:p>
            <w:r>
              <w:rPr>
                <w:sz w:val="20"/>
              </w:rPr>
              <w:t>Dependency</w:t>
            </w:r>
          </w:p>
        </w:tc>
        <w:tc>
          <w:tcPr>
            <w:tcW w:type="dxa" w:w="2551"/>
          </w:tcPr>
          <w:p>
            <w:r>
              <w:rPr>
                <w:sz w:val="20"/>
              </w:rPr>
              <w:t>Store data APIs remain accessible and stable</w:t>
            </w:r>
          </w:p>
        </w:tc>
        <w:tc>
          <w:tcPr>
            <w:tcW w:type="dxa" w:w="1701"/>
          </w:tcPr>
          <w:p>
            <w:r>
              <w:rPr>
                <w:sz w:val="20"/>
              </w:rPr>
              <w:t>Required for all modules</w:t>
            </w:r>
          </w:p>
        </w:tc>
        <w:tc>
          <w:tcPr>
            <w:tcW w:type="dxa" w:w="2268"/>
          </w:tcPr>
          <w:p>
            <w:r>
              <w:rPr>
                <w:sz w:val="20"/>
              </w:rPr>
              <w:t>Monitor API status; maintain fallback scrapers; engage store developer relations</w:t>
            </w:r>
          </w:p>
        </w:tc>
        <w:tc>
          <w:tcPr>
            <w:tcW w:type="dxa" w:w="1417"/>
          </w:tcPr>
          <w:p>
            <w:r>
              <w:rPr>
                <w:sz w:val="20"/>
              </w:rPr>
              <w:t>Data Engineering</w:t>
            </w:r>
          </w:p>
        </w:tc>
      </w:tr>
      <w:tr>
        <w:tc>
          <w:tcPr>
            <w:tcW w:type="dxa" w:w="1134"/>
          </w:tcPr>
          <w:p>
            <w:r>
              <w:rPr>
                <w:sz w:val="20"/>
              </w:rPr>
              <w:t>Decision</w:t>
            </w:r>
          </w:p>
        </w:tc>
        <w:tc>
          <w:tcPr>
            <w:tcW w:type="dxa" w:w="2551"/>
          </w:tcPr>
          <w:p>
            <w:r>
              <w:rPr>
                <w:sz w:val="20"/>
              </w:rPr>
              <w:t>No public API in v1 demo</w:t>
            </w:r>
          </w:p>
        </w:tc>
        <w:tc>
          <w:tcPr>
            <w:tcW w:type="dxa" w:w="1701"/>
          </w:tcPr>
          <w:p>
            <w:r>
              <w:rPr>
                <w:sz w:val="20"/>
              </w:rPr>
              <w:t>Reduces v1 scope</w:t>
            </w:r>
          </w:p>
        </w:tc>
        <w:tc>
          <w:tcPr>
            <w:tcW w:type="dxa" w:w="2268"/>
          </w:tcPr>
          <w:p>
            <w:r>
              <w:rPr>
                <w:sz w:val="20"/>
              </w:rPr>
              <w:t>API label visible in nav; endpoints shipped in Beta phase</w:t>
            </w:r>
          </w:p>
        </w:tc>
        <w:tc>
          <w:tcPr>
            <w:tcW w:type="dxa" w:w="1417"/>
          </w:tcPr>
          <w:p>
            <w:r>
              <w:rPr>
                <w:sz w:val="20"/>
              </w:rPr>
              <w:t>Product Lead</w:t>
            </w:r>
          </w:p>
        </w:tc>
      </w:tr>
      <w:tr>
        <w:tc>
          <w:tcPr>
            <w:tcW w:type="dxa" w:w="1134"/>
          </w:tcPr>
          <w:p>
            <w:r>
              <w:rPr>
                <w:sz w:val="20"/>
              </w:rPr>
              <w:t>Decision</w:t>
            </w:r>
          </w:p>
        </w:tc>
        <w:tc>
          <w:tcPr>
            <w:tcW w:type="dxa" w:w="2551"/>
          </w:tcPr>
          <w:p>
            <w:r>
              <w:rPr>
                <w:sz w:val="20"/>
              </w:rPr>
              <w:t>The Sage uses rule-plus-heuristic approach in v1 (not RL)</w:t>
            </w:r>
          </w:p>
        </w:tc>
        <w:tc>
          <w:tcPr>
            <w:tcW w:type="dxa" w:w="1701"/>
          </w:tcPr>
          <w:p>
            <w:r>
              <w:rPr>
                <w:sz w:val="20"/>
              </w:rPr>
              <w:t>Limits learning capability</w:t>
            </w:r>
          </w:p>
        </w:tc>
        <w:tc>
          <w:tcPr>
            <w:tcW w:type="dxa" w:w="2268"/>
          </w:tcPr>
          <w:p>
            <w:r>
              <w:rPr>
                <w:sz w:val="20"/>
              </w:rPr>
              <w:t>Outcome logging from day one; migrate to bandit/RL post-demo with safety rails</w:t>
            </w:r>
          </w:p>
        </w:tc>
        <w:tc>
          <w:tcPr>
            <w:tcW w:type="dxa" w:w="1417"/>
          </w:tcPr>
          <w:p>
            <w:r>
              <w:rPr>
                <w:sz w:val="20"/>
              </w:rPr>
              <w:t>Data Science</w:t>
            </w:r>
          </w:p>
        </w:tc>
      </w:tr>
    </w:tbl>
    <w:p/>
    <w:p>
      <w:pPr>
        <w:pStyle w:val="Heading1"/>
      </w:pPr>
      <w:r>
        <w:t>16. Open questions</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567"/>
          </w:tcPr>
          <w:p>
            <w:r>
              <w:rPr>
                <w:b/>
                <w:sz w:val="20"/>
              </w:rPr>
              <w:t>#</w:t>
            </w:r>
          </w:p>
        </w:tc>
        <w:tc>
          <w:tcPr>
            <w:tcW w:type="dxa" w:w="3118"/>
          </w:tcPr>
          <w:p>
            <w:r>
              <w:rPr>
                <w:b/>
                <w:sz w:val="20"/>
              </w:rPr>
              <w:t>Question</w:t>
            </w:r>
          </w:p>
        </w:tc>
        <w:tc>
          <w:tcPr>
            <w:tcW w:type="dxa" w:w="2268"/>
          </w:tcPr>
          <w:p>
            <w:r>
              <w:rPr>
                <w:b/>
                <w:sz w:val="20"/>
              </w:rPr>
              <w:t>Why it matters</w:t>
            </w:r>
          </w:p>
        </w:tc>
        <w:tc>
          <w:tcPr>
            <w:tcW w:type="dxa" w:w="1417"/>
          </w:tcPr>
          <w:p>
            <w:r>
              <w:rPr>
                <w:b/>
                <w:sz w:val="20"/>
              </w:rPr>
              <w:t>Owner</w:t>
            </w:r>
          </w:p>
        </w:tc>
        <w:tc>
          <w:tcPr>
            <w:tcW w:type="dxa" w:w="1701"/>
          </w:tcPr>
          <w:p>
            <w:r>
              <w:rPr>
                <w:b/>
                <w:sz w:val="20"/>
              </w:rPr>
              <w:t>Due date</w:t>
            </w:r>
          </w:p>
        </w:tc>
      </w:tr>
      <w:tr>
        <w:tc>
          <w:tcPr>
            <w:tcW w:type="dxa" w:w="567"/>
          </w:tcPr>
          <w:p>
            <w:r>
              <w:rPr>
                <w:sz w:val="20"/>
              </w:rPr>
              <w:t>1</w:t>
            </w:r>
          </w:p>
        </w:tc>
        <w:tc>
          <w:tcPr>
            <w:tcW w:type="dxa" w:w="3118"/>
          </w:tcPr>
          <w:p>
            <w:r>
              <w:rPr>
                <w:sz w:val="20"/>
              </w:rPr>
              <w:t>Publisher and partner revenue share defaults: choose Option A (global 30% royalty), B (first-party/third-party split), or C (per-title fields)?</w:t>
            </w:r>
          </w:p>
        </w:tc>
        <w:tc>
          <w:tcPr>
            <w:tcW w:type="dxa" w:w="2268"/>
          </w:tcPr>
          <w:p>
            <w:r>
              <w:rPr>
                <w:sz w:val="20"/>
              </w:rPr>
              <w:t>Affects finance module calculations and demo accuracy</w:t>
            </w:r>
          </w:p>
        </w:tc>
        <w:tc>
          <w:tcPr>
            <w:tcW w:type="dxa" w:w="1417"/>
          </w:tcPr>
          <w:p>
            <w:r>
              <w:rPr>
                <w:sz w:val="20"/>
              </w:rPr>
              <w:t>CEO</w:t>
            </w:r>
          </w:p>
        </w:tc>
        <w:tc>
          <w:tcPr>
            <w:tcW w:type="dxa" w:w="1701"/>
          </w:tcPr>
          <w:p>
            <w:r>
              <w:rPr>
                <w:sz w:val="20"/>
              </w:rPr>
              <w:t>Before demo freeze</w:t>
            </w:r>
          </w:p>
        </w:tc>
      </w:tr>
      <w:tr>
        <w:tc>
          <w:tcPr>
            <w:tcW w:type="dxa" w:w="567"/>
          </w:tcPr>
          <w:p>
            <w:r>
              <w:rPr>
                <w:sz w:val="20"/>
              </w:rPr>
              <w:t>2</w:t>
            </w:r>
          </w:p>
        </w:tc>
        <w:tc>
          <w:tcPr>
            <w:tcW w:type="dxa" w:w="3118"/>
          </w:tcPr>
          <w:p>
            <w:r>
              <w:rPr>
                <w:sz w:val="20"/>
              </w:rPr>
              <w:t>First investor meeting date and duration?</w:t>
            </w:r>
          </w:p>
        </w:tc>
        <w:tc>
          <w:tcPr>
            <w:tcW w:type="dxa" w:w="2268"/>
          </w:tcPr>
          <w:p>
            <w:r>
              <w:rPr>
                <w:sz w:val="20"/>
              </w:rPr>
              <w:t>Drives demo scope prioritisation and data freeze deadline</w:t>
            </w:r>
          </w:p>
        </w:tc>
        <w:tc>
          <w:tcPr>
            <w:tcW w:type="dxa" w:w="1417"/>
          </w:tcPr>
          <w:p>
            <w:r>
              <w:rPr>
                <w:sz w:val="20"/>
              </w:rPr>
              <w:t>CEO</w:t>
            </w:r>
          </w:p>
        </w:tc>
        <w:tc>
          <w:tcPr>
            <w:tcW w:type="dxa" w:w="1701"/>
          </w:tcPr>
          <w:p>
            <w:r>
              <w:rPr>
                <w:sz w:val="20"/>
              </w:rPr>
              <w:t>Immediate</w:t>
            </w:r>
          </w:p>
        </w:tc>
      </w:tr>
      <w:tr>
        <w:tc>
          <w:tcPr>
            <w:tcW w:type="dxa" w:w="567"/>
          </w:tcPr>
          <w:p>
            <w:r>
              <w:rPr>
                <w:sz w:val="20"/>
              </w:rPr>
              <w:t>3</w:t>
            </w:r>
          </w:p>
        </w:tc>
        <w:tc>
          <w:tcPr>
            <w:tcW w:type="dxa" w:w="3118"/>
          </w:tcPr>
          <w:p>
            <w:r>
              <w:rPr>
                <w:sz w:val="20"/>
              </w:rPr>
              <w:t>Legal review gates for copy, disclosures, and Estimated labels?</w:t>
            </w:r>
          </w:p>
        </w:tc>
        <w:tc>
          <w:tcPr>
            <w:tcW w:type="dxa" w:w="2268"/>
          </w:tcPr>
          <w:p>
            <w:r>
              <w:rPr>
                <w:sz w:val="20"/>
              </w:rPr>
              <w:t>Ensures compliance before external-facing demo</w:t>
            </w:r>
          </w:p>
        </w:tc>
        <w:tc>
          <w:tcPr>
            <w:tcW w:type="dxa" w:w="1417"/>
          </w:tcPr>
          <w:p>
            <w:r>
              <w:rPr>
                <w:sz w:val="20"/>
              </w:rPr>
              <w:t>Legal</w:t>
            </w:r>
          </w:p>
        </w:tc>
        <w:tc>
          <w:tcPr>
            <w:tcW w:type="dxa" w:w="1701"/>
          </w:tcPr>
          <w:p>
            <w:r>
              <w:rPr>
                <w:sz w:val="20"/>
              </w:rPr>
              <w:t>2 weeks before demo</w:t>
            </w:r>
          </w:p>
        </w:tc>
      </w:tr>
      <w:tr>
        <w:tc>
          <w:tcPr>
            <w:tcW w:type="dxa" w:w="567"/>
          </w:tcPr>
          <w:p>
            <w:r>
              <w:rPr>
                <w:sz w:val="20"/>
              </w:rPr>
              <w:t>4</w:t>
            </w:r>
          </w:p>
        </w:tc>
        <w:tc>
          <w:tcPr>
            <w:tcW w:type="dxa" w:w="3118"/>
          </w:tcPr>
          <w:p>
            <w:r>
              <w:rPr>
                <w:sz w:val="20"/>
              </w:rPr>
              <w:t>Confirm tech stack: Next.js + FastAPI + Postgres/DuckDB?</w:t>
            </w:r>
          </w:p>
        </w:tc>
        <w:tc>
          <w:tcPr>
            <w:tcW w:type="dxa" w:w="2268"/>
          </w:tcPr>
          <w:p>
            <w:r>
              <w:rPr>
                <w:sz w:val="20"/>
              </w:rPr>
              <w:t>Affects hiring and build timeline</w:t>
            </w:r>
          </w:p>
        </w:tc>
        <w:tc>
          <w:tcPr>
            <w:tcW w:type="dxa" w:w="1417"/>
          </w:tcPr>
          <w:p>
            <w:r>
              <w:rPr>
                <w:sz w:val="20"/>
              </w:rPr>
              <w:t>Engineering Lead</w:t>
            </w:r>
          </w:p>
        </w:tc>
        <w:tc>
          <w:tcPr>
            <w:tcW w:type="dxa" w:w="1701"/>
          </w:tcPr>
          <w:p>
            <w:r>
              <w:rPr>
                <w:sz w:val="20"/>
              </w:rPr>
              <w:t>Before sprint 1</w:t>
            </w:r>
          </w:p>
        </w:tc>
      </w:tr>
      <w:tr>
        <w:tc>
          <w:tcPr>
            <w:tcW w:type="dxa" w:w="567"/>
          </w:tcPr>
          <w:p>
            <w:r>
              <w:rPr>
                <w:sz w:val="20"/>
              </w:rPr>
              <w:t>5</w:t>
            </w:r>
          </w:p>
        </w:tc>
        <w:tc>
          <w:tcPr>
            <w:tcW w:type="dxa" w:w="3118"/>
          </w:tcPr>
          <w:p>
            <w:r>
              <w:rPr>
                <w:sz w:val="20"/>
              </w:rPr>
              <w:t>Deadline for frozen demo dataset?</w:t>
            </w:r>
          </w:p>
        </w:tc>
        <w:tc>
          <w:tcPr>
            <w:tcW w:type="dxa" w:w="2268"/>
          </w:tcPr>
          <w:p>
            <w:r>
              <w:rPr>
                <w:sz w:val="20"/>
              </w:rPr>
              <w:t>Data must be stable before rehearsal runs</w:t>
            </w:r>
          </w:p>
        </w:tc>
        <w:tc>
          <w:tcPr>
            <w:tcW w:type="dxa" w:w="1417"/>
          </w:tcPr>
          <w:p>
            <w:r>
              <w:rPr>
                <w:sz w:val="20"/>
              </w:rPr>
              <w:t>Data Engineering</w:t>
            </w:r>
          </w:p>
        </w:tc>
        <w:tc>
          <w:tcPr>
            <w:tcW w:type="dxa" w:w="1701"/>
          </w:tcPr>
          <w:p>
            <w:r>
              <w:rPr>
                <w:sz w:val="20"/>
              </w:rPr>
              <w:t>3 weeks before demo</w:t>
            </w:r>
          </w:p>
        </w:tc>
      </w:tr>
      <w:tr>
        <w:tc>
          <w:tcPr>
            <w:tcW w:type="dxa" w:w="567"/>
          </w:tcPr>
          <w:p>
            <w:r>
              <w:rPr>
                <w:sz w:val="20"/>
              </w:rPr>
              <w:t>6</w:t>
            </w:r>
          </w:p>
        </w:tc>
        <w:tc>
          <w:tcPr>
            <w:tcW w:type="dxa" w:w="3118"/>
          </w:tcPr>
          <w:p>
            <w:r>
              <w:rPr>
                <w:sz w:val="20"/>
              </w:rPr>
              <w:t>Pricing tier specifics and willingness-to-pay validation plan?</w:t>
            </w:r>
          </w:p>
        </w:tc>
        <w:tc>
          <w:tcPr>
            <w:tcW w:type="dxa" w:w="2268"/>
          </w:tcPr>
          <w:p>
            <w:r>
              <w:rPr>
                <w:sz w:val="20"/>
              </w:rPr>
              <w:t>Critical for post-demo investor conversations</w:t>
            </w:r>
          </w:p>
        </w:tc>
        <w:tc>
          <w:tcPr>
            <w:tcW w:type="dxa" w:w="1417"/>
          </w:tcPr>
          <w:p>
            <w:r>
              <w:rPr>
                <w:sz w:val="20"/>
              </w:rPr>
              <w:t>CEO / Product Lead</w:t>
            </w:r>
          </w:p>
        </w:tc>
        <w:tc>
          <w:tcPr>
            <w:tcW w:type="dxa" w:w="1701"/>
          </w:tcPr>
          <w:p>
            <w:r>
              <w:rPr>
                <w:sz w:val="20"/>
              </w:rPr>
              <w:t>Before Beta phase</w:t>
            </w:r>
          </w:p>
        </w:tc>
      </w:tr>
      <w:tr>
        <w:tc>
          <w:tcPr>
            <w:tcW w:type="dxa" w:w="567"/>
          </w:tcPr>
          <w:p>
            <w:r>
              <w:rPr>
                <w:sz w:val="20"/>
              </w:rPr>
              <w:t>7</w:t>
            </w:r>
          </w:p>
        </w:tc>
        <w:tc>
          <w:tcPr>
            <w:tcW w:type="dxa" w:w="3118"/>
          </w:tcPr>
          <w:p>
            <w:r>
              <w:rPr>
                <w:sz w:val="20"/>
              </w:rPr>
              <w:t>Provenance UI pattern: hover tooltip, corner panel, slide-over drawer, or other?</w:t>
            </w:r>
          </w:p>
        </w:tc>
        <w:tc>
          <w:tcPr>
            <w:tcW w:type="dxa" w:w="2268"/>
          </w:tcPr>
          <w:p>
            <w:r>
              <w:rPr>
                <w:sz w:val="20"/>
              </w:rPr>
              <w:t>Affects UX implementation across all modules</w:t>
            </w:r>
          </w:p>
        </w:tc>
        <w:tc>
          <w:tcPr>
            <w:tcW w:type="dxa" w:w="1417"/>
          </w:tcPr>
          <w:p>
            <w:r>
              <w:rPr>
                <w:sz w:val="20"/>
              </w:rPr>
              <w:t>UX Lead</w:t>
            </w:r>
          </w:p>
        </w:tc>
        <w:tc>
          <w:tcPr>
            <w:tcW w:type="dxa" w:w="1701"/>
          </w:tcPr>
          <w:p>
            <w:r>
              <w:rPr>
                <w:sz w:val="20"/>
              </w:rPr>
              <w:t>Before Alpha build</w:t>
            </w:r>
          </w:p>
        </w:tc>
      </w:tr>
      <w:tr>
        <w:tc>
          <w:tcPr>
            <w:tcW w:type="dxa" w:w="567"/>
          </w:tcPr>
          <w:p>
            <w:r>
              <w:rPr>
                <w:sz w:val="20"/>
              </w:rPr>
              <w:t>8</w:t>
            </w:r>
          </w:p>
        </w:tc>
        <w:tc>
          <w:tcPr>
            <w:tcW w:type="dxa" w:w="3118"/>
          </w:tcPr>
          <w:p>
            <w:r>
              <w:rPr>
                <w:sz w:val="20"/>
              </w:rPr>
              <w:t>Value claim validation methodology?</w:t>
            </w:r>
          </w:p>
        </w:tc>
        <w:tc>
          <w:tcPr>
            <w:tcW w:type="dxa" w:w="2268"/>
          </w:tcPr>
          <w:p>
            <w:r>
              <w:rPr>
                <w:sz w:val="20"/>
              </w:rPr>
              <w:t>Evidence claims need backing for credibility</w:t>
            </w:r>
          </w:p>
        </w:tc>
        <w:tc>
          <w:tcPr>
            <w:tcW w:type="dxa" w:w="1417"/>
          </w:tcPr>
          <w:p>
            <w:r>
              <w:rPr>
                <w:sz w:val="20"/>
              </w:rPr>
              <w:t>Product Lead</w:t>
            </w:r>
          </w:p>
        </w:tc>
        <w:tc>
          <w:tcPr>
            <w:tcW w:type="dxa" w:w="1701"/>
          </w:tcPr>
          <w:p>
            <w:r>
              <w:rPr>
                <w:sz w:val="20"/>
              </w:rPr>
              <w:t>Before Beta phase</w:t>
            </w:r>
          </w:p>
        </w:tc>
      </w:tr>
      <w:tr>
        <w:tc>
          <w:tcPr>
            <w:tcW w:type="dxa" w:w="567"/>
          </w:tcPr>
          <w:p>
            <w:r>
              <w:rPr>
                <w:sz w:val="20"/>
              </w:rPr>
              <w:t>9</w:t>
            </w:r>
          </w:p>
        </w:tc>
        <w:tc>
          <w:tcPr>
            <w:tcW w:type="dxa" w:w="3118"/>
          </w:tcPr>
          <w:p>
            <w:r>
              <w:rPr>
                <w:sz w:val="20"/>
              </w:rPr>
              <w:t>Seeded catalog title selection: which 50 titles? Recommended mix: 20 mobile F2P, 15 PC/Steam, 10 cross-platform, 5 recent high-profile releases.</w:t>
            </w:r>
          </w:p>
        </w:tc>
        <w:tc>
          <w:tcPr>
            <w:tcW w:type="dxa" w:w="2268"/>
          </w:tcPr>
          <w:p>
            <w:r>
              <w:rPr>
                <w:sz w:val="20"/>
              </w:rPr>
              <w:t>Selection directly impacts demo quality and audience relevance</w:t>
            </w:r>
          </w:p>
        </w:tc>
        <w:tc>
          <w:tcPr>
            <w:tcW w:type="dxa" w:w="1417"/>
          </w:tcPr>
          <w:p>
            <w:r>
              <w:rPr>
                <w:sz w:val="20"/>
              </w:rPr>
              <w:t>Data Engineering / Product Lead</w:t>
            </w:r>
          </w:p>
        </w:tc>
        <w:tc>
          <w:tcPr>
            <w:tcW w:type="dxa" w:w="1701"/>
          </w:tcPr>
          <w:p>
            <w:r>
              <w:rPr>
                <w:sz w:val="20"/>
              </w:rPr>
              <w:t>Before demo freeze</w:t>
            </w:r>
          </w:p>
        </w:tc>
      </w:tr>
      <w:tr>
        <w:tc>
          <w:tcPr>
            <w:tcW w:type="dxa" w:w="567"/>
          </w:tcPr>
          <w:p>
            <w:r>
              <w:rPr>
                <w:sz w:val="20"/>
              </w:rPr>
              <w:t>10</w:t>
            </w:r>
          </w:p>
        </w:tc>
        <w:tc>
          <w:tcPr>
            <w:tcW w:type="dxa" w:w="3118"/>
          </w:tcPr>
          <w:p>
            <w:r>
              <w:rPr>
                <w:sz w:val="20"/>
              </w:rPr>
              <w:t>Are any data sources gated behind licensing agreements?</w:t>
            </w:r>
          </w:p>
        </w:tc>
        <w:tc>
          <w:tcPr>
            <w:tcW w:type="dxa" w:w="2268"/>
          </w:tcPr>
          <w:p>
            <w:r>
              <w:rPr>
                <w:sz w:val="20"/>
              </w:rPr>
              <w:t>Licensing costs and timeline could affect build plan and budget</w:t>
            </w:r>
          </w:p>
        </w:tc>
        <w:tc>
          <w:tcPr>
            <w:tcW w:type="dxa" w:w="1417"/>
          </w:tcPr>
          <w:p>
            <w:r>
              <w:rPr>
                <w:sz w:val="20"/>
              </w:rPr>
              <w:t>CEO / Data Engineering</w:t>
            </w:r>
          </w:p>
        </w:tc>
        <w:tc>
          <w:tcPr>
            <w:tcW w:type="dxa" w:w="1701"/>
          </w:tcPr>
          <w:p>
            <w:r>
              <w:rPr>
                <w:sz w:val="20"/>
              </w:rPr>
              <w:t>Before sprint 1</w:t>
            </w:r>
          </w:p>
        </w:tc>
      </w:tr>
      <w:tr>
        <w:tc>
          <w:tcPr>
            <w:tcW w:type="dxa" w:w="567"/>
          </w:tcPr>
          <w:p>
            <w:r>
              <w:rPr>
                <w:sz w:val="20"/>
              </w:rPr>
              <w:t>11</w:t>
            </w:r>
          </w:p>
        </w:tc>
        <w:tc>
          <w:tcPr>
            <w:tcW w:type="dxa" w:w="3118"/>
          </w:tcPr>
          <w:p>
            <w:r>
              <w:rPr>
                <w:sz w:val="20"/>
              </w:rPr>
              <w:t>NBI Human Capital data sources: which ATS and project management connectors to prioritise for Beta?</w:t>
            </w:r>
          </w:p>
        </w:tc>
        <w:tc>
          <w:tcPr>
            <w:tcW w:type="dxa" w:w="2268"/>
          </w:tcPr>
          <w:p>
            <w:r>
              <w:rPr>
                <w:sz w:val="20"/>
              </w:rPr>
              <w:t>Determines integration build order for Human Capital pack</w:t>
            </w:r>
          </w:p>
        </w:tc>
        <w:tc>
          <w:tcPr>
            <w:tcW w:type="dxa" w:w="1417"/>
          </w:tcPr>
          <w:p>
            <w:r>
              <w:rPr>
                <w:sz w:val="20"/>
              </w:rPr>
              <w:t>Product Lead</w:t>
            </w:r>
          </w:p>
        </w:tc>
        <w:tc>
          <w:tcPr>
            <w:tcW w:type="dxa" w:w="1701"/>
          </w:tcPr>
          <w:p>
            <w:r>
              <w:rPr>
                <w:sz w:val="20"/>
              </w:rPr>
              <w:t>Before Beta phase</w:t>
            </w:r>
          </w:p>
        </w:tc>
      </w:tr>
      <w:tr>
        <w:tc>
          <w:tcPr>
            <w:tcW w:type="dxa" w:w="567"/>
          </w:tcPr>
          <w:p>
            <w:r>
              <w:rPr>
                <w:sz w:val="20"/>
              </w:rPr>
              <w:t>12</w:t>
            </w:r>
          </w:p>
        </w:tc>
        <w:tc>
          <w:tcPr>
            <w:tcW w:type="dxa" w:w="3118"/>
          </w:tcPr>
          <w:p>
            <w:r>
              <w:rPr>
                <w:sz w:val="20"/>
              </w:rPr>
              <w:t>EU subregion taxonomy confirmed? Proposed: EU-West (France, Spain, Germany, Sweden, Italy), EU-East (Poland, Czechia, Hungary, Romania, Slovakia)</w:t>
            </w:r>
          </w:p>
        </w:tc>
        <w:tc>
          <w:tcPr>
            <w:tcW w:type="dxa" w:w="2268"/>
          </w:tcPr>
          <w:p>
            <w:r>
              <w:rPr>
                <w:sz w:val="20"/>
              </w:rPr>
              <w:t>Affects Foresight sell-in/sell-through breakdowns and Finance module</w:t>
            </w:r>
          </w:p>
        </w:tc>
        <w:tc>
          <w:tcPr>
            <w:tcW w:type="dxa" w:w="1417"/>
          </w:tcPr>
          <w:p>
            <w:r>
              <w:rPr>
                <w:sz w:val="20"/>
              </w:rPr>
              <w:t>Product Lead</w:t>
            </w:r>
          </w:p>
        </w:tc>
        <w:tc>
          <w:tcPr>
            <w:tcW w:type="dxa" w:w="1701"/>
          </w:tcPr>
          <w:p>
            <w:r>
              <w:rPr>
                <w:sz w:val="20"/>
              </w:rPr>
              <w:t>Before demo freeze</w:t>
            </w:r>
          </w:p>
        </w:tc>
      </w:tr>
    </w:tbl>
    <w:p/>
    <w:p>
      <w:pPr>
        <w:pStyle w:val="Heading1"/>
      </w:pPr>
      <w:r>
        <w:t>17. Claims and assumptions table</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2268"/>
          </w:tcPr>
          <w:p>
            <w:r>
              <w:rPr>
                <w:b/>
                <w:sz w:val="20"/>
              </w:rPr>
              <w:t>Claim</w:t>
            </w:r>
          </w:p>
        </w:tc>
        <w:tc>
          <w:tcPr>
            <w:tcW w:type="dxa" w:w="2268"/>
          </w:tcPr>
          <w:p>
            <w:r>
              <w:rPr>
                <w:b/>
                <w:sz w:val="20"/>
              </w:rPr>
              <w:t>Source</w:t>
            </w:r>
          </w:p>
        </w:tc>
        <w:tc>
          <w:tcPr>
            <w:tcW w:type="dxa" w:w="850"/>
          </w:tcPr>
          <w:p>
            <w:r>
              <w:rPr>
                <w:b/>
                <w:sz w:val="20"/>
              </w:rPr>
              <w:t>Date</w:t>
            </w:r>
          </w:p>
        </w:tc>
        <w:tc>
          <w:tcPr>
            <w:tcW w:type="dxa" w:w="1701"/>
          </w:tcPr>
          <w:p>
            <w:r>
              <w:rPr>
                <w:b/>
                <w:sz w:val="20"/>
              </w:rPr>
              <w:t>Confidence</w:t>
            </w:r>
          </w:p>
        </w:tc>
        <w:tc>
          <w:tcPr>
            <w:tcW w:type="dxa" w:w="2268"/>
          </w:tcPr>
          <w:p>
            <w:r>
              <w:rPr>
                <w:b/>
                <w:sz w:val="20"/>
              </w:rPr>
              <w:t>Gap or follow-up</w:t>
            </w:r>
          </w:p>
        </w:tc>
      </w:tr>
      <w:tr>
        <w:tc>
          <w:tcPr>
            <w:tcW w:type="dxa" w:w="2268"/>
          </w:tcPr>
          <w:p>
            <w:r>
              <w:rPr>
                <w:sz w:val="20"/>
              </w:rPr>
              <w:t>Playsage redirects approximately 30 or more analyst hours per week ($78K to $187K per year at loaded cost)</w:t>
            </w:r>
          </w:p>
        </w:tc>
        <w:tc>
          <w:tcPr>
            <w:tcW w:type="dxa" w:w="2268"/>
          </w:tcPr>
          <w:p>
            <w:r>
              <w:rPr>
                <w:sz w:val="20"/>
              </w:rPr>
              <w:t>Internal estimate based on per-module workflow mapping. Analyst cost based on Glassdoor median fully-loaded Senior Game Analyst, US/UK, 2024 to 2025.</w:t>
            </w:r>
          </w:p>
        </w:tc>
        <w:tc>
          <w:tcPr>
            <w:tcW w:type="dxa" w:w="850"/>
          </w:tcPr>
          <w:p>
            <w:r>
              <w:rPr>
                <w:sz w:val="20"/>
              </w:rPr>
              <w:t>2025</w:t>
            </w:r>
          </w:p>
        </w:tc>
        <w:tc>
          <w:tcPr>
            <w:tcW w:type="dxa" w:w="1701"/>
          </w:tcPr>
          <w:p>
            <w:r>
              <w:rPr>
                <w:sz w:val="20"/>
              </w:rPr>
              <w:t>Medium (assumption to be validated)</w:t>
            </w:r>
          </w:p>
        </w:tc>
        <w:tc>
          <w:tcPr>
            <w:tcW w:type="dxa" w:w="2268"/>
          </w:tcPr>
          <w:p>
            <w:r>
              <w:rPr>
                <w:sz w:val="20"/>
              </w:rPr>
              <w:t>Validate with baseline time-tracking during pilot phase with 3 to 5 studios.</w:t>
            </w:r>
          </w:p>
        </w:tc>
      </w:tr>
      <w:tr>
        <w:tc>
          <w:tcPr>
            <w:tcW w:type="dxa" w:w="2268"/>
          </w:tcPr>
          <w:p>
            <w:r>
              <w:rPr>
                <w:sz w:val="20"/>
              </w:rPr>
              <w:t>Competitive teardowns take 4 to 6 analyst hours per session, run 2 to 4 times per month</w:t>
            </w:r>
          </w:p>
        </w:tc>
        <w:tc>
          <w:tcPr>
            <w:tcW w:type="dxa" w:w="2268"/>
          </w:tcPr>
          <w:p>
            <w:r>
              <w:rPr>
                <w:sz w:val="20"/>
              </w:rPr>
              <w:t>Internal PM benchmarking</w:t>
            </w:r>
          </w:p>
        </w:tc>
        <w:tc>
          <w:tcPr>
            <w:tcW w:type="dxa" w:w="850"/>
          </w:tcPr>
          <w:p>
            <w:r>
              <w:rPr>
                <w:sz w:val="20"/>
              </w:rPr>
              <w:t>2025</w:t>
            </w:r>
          </w:p>
        </w:tc>
        <w:tc>
          <w:tcPr>
            <w:tcW w:type="dxa" w:w="1701"/>
          </w:tcPr>
          <w:p>
            <w:r>
              <w:rPr>
                <w:sz w:val="20"/>
              </w:rPr>
              <w:t>Medium</w:t>
            </w:r>
          </w:p>
        </w:tc>
        <w:tc>
          <w:tcPr>
            <w:tcW w:type="dxa" w:w="2268"/>
          </w:tcPr>
          <w:p>
            <w:r>
              <w:rPr>
                <w:sz w:val="20"/>
              </w:rPr>
              <w:t>Time-track during pilots</w:t>
            </w:r>
          </w:p>
        </w:tc>
      </w:tr>
      <w:tr>
        <w:tc>
          <w:tcPr>
            <w:tcW w:type="dxa" w:w="2268"/>
          </w:tcPr>
          <w:p>
            <w:r>
              <w:rPr>
                <w:sz w:val="20"/>
              </w:rPr>
              <w:t>Analytics-driven optimisation improves pricing/campaign ROI by 15 to 30 percent</w:t>
            </w:r>
          </w:p>
        </w:tc>
        <w:tc>
          <w:tcPr>
            <w:tcW w:type="dxa" w:w="2268"/>
          </w:tcPr>
          <w:p>
            <w:r>
              <w:rPr>
                <w:sz w:val="20"/>
              </w:rPr>
              <w:t>McKinsey, "The State of AI" report (July 2024); industry benchmarks</w:t>
            </w:r>
          </w:p>
        </w:tc>
        <w:tc>
          <w:tcPr>
            <w:tcW w:type="dxa" w:w="850"/>
          </w:tcPr>
          <w:p>
            <w:r>
              <w:rPr>
                <w:sz w:val="20"/>
              </w:rPr>
              <w:t>2024</w:t>
            </w:r>
          </w:p>
        </w:tc>
        <w:tc>
          <w:tcPr>
            <w:tcW w:type="dxa" w:w="1701"/>
          </w:tcPr>
          <w:p>
            <w:r>
              <w:rPr>
                <w:sz w:val="20"/>
              </w:rPr>
              <w:t>Medium (assumption to be validated)</w:t>
            </w:r>
          </w:p>
        </w:tc>
        <w:tc>
          <w:tcPr>
            <w:tcW w:type="dxa" w:w="2268"/>
          </w:tcPr>
          <w:p>
            <w:r>
              <w:rPr>
                <w:sz w:val="20"/>
              </w:rPr>
              <w:t>Measure with pilot A/B comparisons</w:t>
            </w:r>
          </w:p>
        </w:tc>
      </w:tr>
      <w:tr>
        <w:tc>
          <w:tcPr>
            <w:tcW w:type="dxa" w:w="2268"/>
          </w:tcPr>
          <w:p>
            <w:r>
              <w:rPr>
                <w:sz w:val="20"/>
              </w:rPr>
              <w:t>TAM for games analytics $2 to 4 billion globally</w:t>
            </w:r>
          </w:p>
        </w:tc>
        <w:tc>
          <w:tcPr>
            <w:tcW w:type="dxa" w:w="2268"/>
          </w:tcPr>
          <w:p>
            <w:r>
              <w:rPr>
                <w:sz w:val="20"/>
              </w:rPr>
              <w:t>Multiple analyst reports on games analytics market</w:t>
            </w:r>
          </w:p>
        </w:tc>
        <w:tc>
          <w:tcPr>
            <w:tcW w:type="dxa" w:w="850"/>
          </w:tcPr>
          <w:p>
            <w:r>
              <w:rPr>
                <w:sz w:val="20"/>
              </w:rPr>
              <w:t>2024</w:t>
            </w:r>
          </w:p>
        </w:tc>
        <w:tc>
          <w:tcPr>
            <w:tcW w:type="dxa" w:w="1701"/>
          </w:tcPr>
          <w:p>
            <w:r>
              <w:rPr>
                <w:sz w:val="20"/>
              </w:rPr>
              <w:t>Medium-Low</w:t>
            </w:r>
          </w:p>
        </w:tc>
        <w:tc>
          <w:tcPr>
            <w:tcW w:type="dxa" w:w="2268"/>
          </w:tcPr>
          <w:p>
            <w:r>
              <w:rPr>
                <w:sz w:val="20"/>
              </w:rPr>
              <w:t>Broader sample needed; refresh annually</w:t>
            </w:r>
          </w:p>
        </w:tc>
      </w:tr>
      <w:tr>
        <w:tc>
          <w:tcPr>
            <w:tcW w:type="dxa" w:w="2268"/>
          </w:tcPr>
          <w:p>
            <w:r>
              <w:rPr>
                <w:sz w:val="20"/>
              </w:rPr>
              <w:t>Sensor Tower acquired data.ai in March 2024, creating near-monopoly in mobile intelligence</w:t>
            </w:r>
          </w:p>
        </w:tc>
        <w:tc>
          <w:tcPr>
            <w:tcW w:type="dxa" w:w="2268"/>
          </w:tcPr>
          <w:p>
            <w:r>
              <w:rPr>
                <w:sz w:val="20"/>
              </w:rPr>
              <w:t>TechCrunch, PocketGamer.biz, Sensor Tower blog</w:t>
            </w:r>
          </w:p>
        </w:tc>
        <w:tc>
          <w:tcPr>
            <w:tcW w:type="dxa" w:w="850"/>
          </w:tcPr>
          <w:p>
            <w:r>
              <w:rPr>
                <w:sz w:val="20"/>
              </w:rPr>
              <w:t>March 2024</w:t>
            </w:r>
          </w:p>
        </w:tc>
        <w:tc>
          <w:tcPr>
            <w:tcW w:type="dxa" w:w="1701"/>
          </w:tcPr>
          <w:p>
            <w:r>
              <w:rPr>
                <w:sz w:val="20"/>
              </w:rPr>
              <w:t>High</w:t>
            </w:r>
          </w:p>
        </w:tc>
        <w:tc>
          <w:tcPr>
            <w:tcW w:type="dxa" w:w="2268"/>
          </w:tcPr>
          <w:p>
            <w:r>
              <w:rPr>
                <w:sz w:val="20"/>
              </w:rPr>
              <w:t>Monitor integration status and pricing changes</w:t>
            </w:r>
          </w:p>
        </w:tc>
      </w:tr>
      <w:tr>
        <w:tc>
          <w:tcPr>
            <w:tcW w:type="dxa" w:w="2268"/>
          </w:tcPr>
          <w:p>
            <w:r>
              <w:rPr>
                <w:sz w:val="20"/>
              </w:rPr>
              <w:t>Post-merger ~60% of data.ai staff laid off; price increases reported</w:t>
            </w:r>
          </w:p>
        </w:tc>
        <w:tc>
          <w:tcPr>
            <w:tcW w:type="dxa" w:w="2268"/>
          </w:tcPr>
          <w:p>
            <w:r>
              <w:rPr>
                <w:sz w:val="20"/>
              </w:rPr>
              <w:t>MobileGamer.biz, Upptic analysis</w:t>
            </w:r>
          </w:p>
        </w:tc>
        <w:tc>
          <w:tcPr>
            <w:tcW w:type="dxa" w:w="850"/>
          </w:tcPr>
          <w:p>
            <w:r>
              <w:rPr>
                <w:sz w:val="20"/>
              </w:rPr>
              <w:t>2024</w:t>
            </w:r>
          </w:p>
        </w:tc>
        <w:tc>
          <w:tcPr>
            <w:tcW w:type="dxa" w:w="1701"/>
          </w:tcPr>
          <w:p>
            <w:r>
              <w:rPr>
                <w:sz w:val="20"/>
              </w:rPr>
              <w:t>Medium-High</w:t>
            </w:r>
          </w:p>
        </w:tc>
        <w:tc>
          <w:tcPr>
            <w:tcW w:type="dxa" w:w="2268"/>
          </w:tcPr>
          <w:p>
            <w:r>
              <w:rPr>
                <w:sz w:val="20"/>
              </w:rPr>
              <w:t>Track customer sentiment and churn from Sensor Tower</w:t>
            </w:r>
          </w:p>
        </w:tc>
      </w:tr>
      <w:tr>
        <w:tc>
          <w:tcPr>
            <w:tcW w:type="dxa" w:w="2268"/>
          </w:tcPr>
          <w:p>
            <w:r>
              <w:rPr>
                <w:sz w:val="20"/>
              </w:rPr>
              <w:t>Price elasticity base game epsilon -1.4, DLC epsilon -1.8</w:t>
            </w:r>
          </w:p>
        </w:tc>
        <w:tc>
          <w:tcPr>
            <w:tcW w:type="dxa" w:w="2268"/>
          </w:tcPr>
          <w:p>
            <w:r>
              <w:rPr>
                <w:sz w:val="20"/>
              </w:rPr>
              <w:t>Default priors based on academic price elasticity literature for digital goods (assumption: priors to be calibrated per-title)</w:t>
            </w:r>
          </w:p>
        </w:tc>
        <w:tc>
          <w:tcPr>
            <w:tcW w:type="dxa" w:w="850"/>
          </w:tcPr>
          <w:p>
            <w:r>
              <w:rPr>
                <w:sz w:val="20"/>
              </w:rPr>
              <w:t>2025</w:t>
            </w:r>
          </w:p>
        </w:tc>
        <w:tc>
          <w:tcPr>
            <w:tcW w:type="dxa" w:w="1701"/>
          </w:tcPr>
          <w:p>
            <w:r>
              <w:rPr>
                <w:sz w:val="20"/>
              </w:rPr>
              <w:t>Medium (assumption: priors to be calibrated per-title)</w:t>
            </w:r>
          </w:p>
        </w:tc>
        <w:tc>
          <w:tcPr>
            <w:tcW w:type="dxa" w:w="2268"/>
          </w:tcPr>
          <w:p>
            <w:r>
              <w:rPr>
                <w:sz w:val="20"/>
              </w:rPr>
              <w:t>Calibrate with real transaction data post-launch per title</w:t>
            </w:r>
          </w:p>
        </w:tc>
      </w:tr>
    </w:tbl>
    <w:p/>
    <w:p>
      <w:pPr>
        <w:pStyle w:val="Heading1"/>
      </w:pPr>
      <w:r>
        <w:t>18. Glossary</w:t>
      </w:r>
    </w:p>
    <w:tbl>
      <w:tblPr>
        <w:tblStyle w:val="LightGrid-Accent1"/>
        <w:tblW w:type="auto" w:w="0"/>
        <w:jc w:val="left"/>
        <w:tblLook w:firstColumn="1" w:firstRow="1" w:lastColumn="0" w:lastRow="0" w:noHBand="0" w:noVBand="1" w:val="04A0"/>
      </w:tblPr>
      <w:tblGrid>
        <w:gridCol w:w="4320"/>
        <w:gridCol w:w="4320"/>
      </w:tblGrid>
      <w:tr>
        <w:tc>
          <w:tcPr>
            <w:tcW w:type="dxa" w:w="2268"/>
          </w:tcPr>
          <w:p>
            <w:r>
              <w:rPr>
                <w:b/>
                <w:sz w:val="20"/>
              </w:rPr>
              <w:t>Term</w:t>
            </w:r>
          </w:p>
        </w:tc>
        <w:tc>
          <w:tcPr>
            <w:tcW w:type="dxa" w:w="7937"/>
          </w:tcPr>
          <w:p>
            <w:r>
              <w:rPr>
                <w:b/>
                <w:sz w:val="20"/>
              </w:rPr>
              <w:t>Definition</w:t>
            </w:r>
          </w:p>
        </w:tc>
      </w:tr>
      <w:tr>
        <w:tc>
          <w:tcPr>
            <w:tcW w:type="dxa" w:w="2268"/>
          </w:tcPr>
          <w:p>
            <w:r>
              <w:rPr>
                <w:sz w:val="20"/>
              </w:rPr>
              <w:t>ARPDAU</w:t>
            </w:r>
          </w:p>
        </w:tc>
        <w:tc>
          <w:tcPr>
            <w:tcW w:type="dxa" w:w="7937"/>
          </w:tcPr>
          <w:p>
            <w:r>
              <w:rPr>
                <w:sz w:val="20"/>
              </w:rPr>
              <w:t>Average revenue per daily active user. Net revenue divided by DAU.</w:t>
            </w:r>
          </w:p>
        </w:tc>
      </w:tr>
      <w:tr>
        <w:tc>
          <w:tcPr>
            <w:tcW w:type="dxa" w:w="2268"/>
          </w:tcPr>
          <w:p>
            <w:r>
              <w:rPr>
                <w:sz w:val="20"/>
              </w:rPr>
              <w:t>ARPPU</w:t>
            </w:r>
          </w:p>
        </w:tc>
        <w:tc>
          <w:tcPr>
            <w:tcW w:type="dxa" w:w="7937"/>
          </w:tcPr>
          <w:p>
            <w:r>
              <w:rPr>
                <w:sz w:val="20"/>
              </w:rPr>
              <w:t>Average revenue per paying user. Net revenue divided by the number of paying users.</w:t>
            </w:r>
          </w:p>
        </w:tc>
      </w:tr>
      <w:tr>
        <w:tc>
          <w:tcPr>
            <w:tcW w:type="dxa" w:w="2268"/>
          </w:tcPr>
          <w:p>
            <w:r>
              <w:rPr>
                <w:sz w:val="20"/>
              </w:rPr>
              <w:t>Backtest</w:t>
            </w:r>
          </w:p>
        </w:tc>
        <w:tc>
          <w:tcPr>
            <w:tcW w:type="dxa" w:w="7937"/>
          </w:tcPr>
          <w:p>
            <w:r>
              <w:rPr>
                <w:sz w:val="20"/>
              </w:rPr>
              <w:t>Validation of a forecast model against held-out historical data to measure accuracy.</w:t>
            </w:r>
          </w:p>
        </w:tc>
      </w:tr>
      <w:tr>
        <w:tc>
          <w:tcPr>
            <w:tcW w:type="dxa" w:w="2268"/>
          </w:tcPr>
          <w:p>
            <w:r>
              <w:rPr>
                <w:sz w:val="20"/>
              </w:rPr>
              <w:t>Collision risk</w:t>
            </w:r>
          </w:p>
        </w:tc>
        <w:tc>
          <w:tcPr>
            <w:tcW w:type="dxa" w:w="7937"/>
          </w:tcPr>
          <w:p>
            <w:r>
              <w:rPr>
                <w:sz w:val="20"/>
              </w:rPr>
              <w:t>A score quantifying how crowded a release window is for a given genre and region.</w:t>
            </w:r>
          </w:p>
        </w:tc>
      </w:tr>
      <w:tr>
        <w:tc>
          <w:tcPr>
            <w:tcW w:type="dxa" w:w="2268"/>
          </w:tcPr>
          <w:p>
            <w:r>
              <w:rPr>
                <w:sz w:val="20"/>
              </w:rPr>
              <w:t>CRM</w:t>
            </w:r>
          </w:p>
        </w:tc>
        <w:tc>
          <w:tcPr>
            <w:tcW w:type="dxa" w:w="7937"/>
          </w:tcPr>
          <w:p>
            <w:r>
              <w:rPr>
                <w:sz w:val="20"/>
              </w:rPr>
              <w:t>Customer Relationship Management. Systems and campaigns for managing player communication and retention.</w:t>
            </w:r>
          </w:p>
        </w:tc>
      </w:tr>
      <w:tr>
        <w:tc>
          <w:tcPr>
            <w:tcW w:type="dxa" w:w="2268"/>
          </w:tcPr>
          <w:p>
            <w:r>
              <w:rPr>
                <w:sz w:val="20"/>
              </w:rPr>
              <w:t>CSAT</w:t>
            </w:r>
          </w:p>
        </w:tc>
        <w:tc>
          <w:tcPr>
            <w:tcW w:type="dxa" w:w="7937"/>
          </w:tcPr>
          <w:p>
            <w:r>
              <w:rPr>
                <w:sz w:val="20"/>
              </w:rPr>
              <w:t>Customer Satisfaction Score. Used specifically for support quality measurement via post-ticket surveys.</w:t>
            </w:r>
          </w:p>
        </w:tc>
      </w:tr>
      <w:tr>
        <w:tc>
          <w:tcPr>
            <w:tcW w:type="dxa" w:w="2268"/>
          </w:tcPr>
          <w:p>
            <w:r>
              <w:rPr>
                <w:sz w:val="20"/>
              </w:rPr>
              <w:t>CTF</w:t>
            </w:r>
          </w:p>
        </w:tc>
        <w:tc>
          <w:tcPr>
            <w:tcW w:type="dxa" w:w="7937"/>
          </w:tcPr>
          <w:p>
            <w:r>
              <w:rPr>
                <w:sz w:val="20"/>
              </w:rPr>
              <w:t>Core Technology Fee. A per-install fee under Apple’s EU alternative terms for the App Store.</w:t>
            </w:r>
          </w:p>
        </w:tc>
      </w:tr>
      <w:tr>
        <w:tc>
          <w:tcPr>
            <w:tcW w:type="dxa" w:w="2268"/>
          </w:tcPr>
          <w:p>
            <w:r>
              <w:rPr>
                <w:sz w:val="20"/>
              </w:rPr>
              <w:t>DAU proxy</w:t>
            </w:r>
          </w:p>
        </w:tc>
        <w:tc>
          <w:tcPr>
            <w:tcW w:type="dxa" w:w="7937"/>
          </w:tcPr>
          <w:p>
            <w:r>
              <w:rPr>
                <w:sz w:val="20"/>
              </w:rPr>
              <w:t>Estimated daily active users derived from store rank position and review cadence.</w:t>
            </w:r>
          </w:p>
        </w:tc>
      </w:tr>
      <w:tr>
        <w:tc>
          <w:tcPr>
            <w:tcW w:type="dxa" w:w="2268"/>
          </w:tcPr>
          <w:p>
            <w:r>
              <w:rPr>
                <w:sz w:val="20"/>
              </w:rPr>
              <w:t>DLC</w:t>
            </w:r>
          </w:p>
        </w:tc>
        <w:tc>
          <w:tcPr>
            <w:tcW w:type="dxa" w:w="7937"/>
          </w:tcPr>
          <w:p>
            <w:r>
              <w:rPr>
                <w:sz w:val="20"/>
              </w:rPr>
              <w:t>Downloadable content. Additional paid content for an existing game.</w:t>
            </w:r>
          </w:p>
        </w:tc>
      </w:tr>
      <w:tr>
        <w:tc>
          <w:tcPr>
            <w:tcW w:type="dxa" w:w="2268"/>
          </w:tcPr>
          <w:p>
            <w:r>
              <w:rPr>
                <w:sz w:val="20"/>
              </w:rPr>
              <w:t>Estimated (label)</w:t>
            </w:r>
          </w:p>
        </w:tc>
        <w:tc>
          <w:tcPr>
            <w:tcW w:type="dxa" w:w="7937"/>
          </w:tcPr>
          <w:p>
            <w:r>
              <w:rPr>
                <w:sz w:val="20"/>
              </w:rPr>
              <w:t>A provenance badge indicating that a metric is modelled from public proxies rather than direct measurement.</w:t>
            </w:r>
          </w:p>
        </w:tc>
      </w:tr>
      <w:tr>
        <w:tc>
          <w:tcPr>
            <w:tcW w:type="dxa" w:w="2268"/>
          </w:tcPr>
          <w:p>
            <w:r>
              <w:rPr>
                <w:sz w:val="20"/>
              </w:rPr>
              <w:t>ETL</w:t>
            </w:r>
          </w:p>
        </w:tc>
        <w:tc>
          <w:tcPr>
            <w:tcW w:type="dxa" w:w="7937"/>
          </w:tcPr>
          <w:p>
            <w:r>
              <w:rPr>
                <w:sz w:val="20"/>
              </w:rPr>
              <w:t>Extract, Transform, Load. A data pipeline pattern for moving data between systems.</w:t>
            </w:r>
          </w:p>
        </w:tc>
      </w:tr>
      <w:tr>
        <w:tc>
          <w:tcPr>
            <w:tcW w:type="dxa" w:w="2268"/>
          </w:tcPr>
          <w:p>
            <w:r>
              <w:rPr>
                <w:sz w:val="20"/>
              </w:rPr>
              <w:t>GBM</w:t>
            </w:r>
          </w:p>
        </w:tc>
        <w:tc>
          <w:tcPr>
            <w:tcW w:type="dxa" w:w="7937"/>
          </w:tcPr>
          <w:p>
            <w:r>
              <w:rPr>
                <w:sz w:val="20"/>
              </w:rPr>
              <w:t>Gradient Boosted Machine. A machine learning algorithm used in the Foresight forecasting module.</w:t>
            </w:r>
          </w:p>
        </w:tc>
      </w:tr>
      <w:tr>
        <w:tc>
          <w:tcPr>
            <w:tcW w:type="dxa" w:w="2268"/>
          </w:tcPr>
          <w:p>
            <w:r>
              <w:rPr>
                <w:sz w:val="20"/>
              </w:rPr>
              <w:t>GDC</w:t>
            </w:r>
          </w:p>
        </w:tc>
        <w:tc>
          <w:tcPr>
            <w:tcW w:type="dxa" w:w="7937"/>
          </w:tcPr>
          <w:p>
            <w:r>
              <w:rPr>
                <w:sz w:val="20"/>
              </w:rPr>
              <w:t>Game Developers Conference. Annual industry event held in San Francisco.</w:t>
            </w:r>
          </w:p>
        </w:tc>
      </w:tr>
      <w:tr>
        <w:tc>
          <w:tcPr>
            <w:tcW w:type="dxa" w:w="2268"/>
          </w:tcPr>
          <w:p>
            <w:r>
              <w:rPr>
                <w:sz w:val="20"/>
              </w:rPr>
              <w:t>IAP</w:t>
            </w:r>
          </w:p>
        </w:tc>
        <w:tc>
          <w:tcPr>
            <w:tcW w:type="dxa" w:w="7937"/>
          </w:tcPr>
          <w:p>
            <w:r>
              <w:rPr>
                <w:sz w:val="20"/>
              </w:rPr>
              <w:t>In-app purchase. A transaction within a game for virtual goods or currency.</w:t>
            </w:r>
          </w:p>
        </w:tc>
      </w:tr>
      <w:tr>
        <w:tc>
          <w:tcPr>
            <w:tcW w:type="dxa" w:w="2268"/>
          </w:tcPr>
          <w:p>
            <w:r>
              <w:rPr>
                <w:sz w:val="20"/>
              </w:rPr>
              <w:t>JTBD</w:t>
            </w:r>
          </w:p>
        </w:tc>
        <w:tc>
          <w:tcPr>
            <w:tcW w:type="dxa" w:w="7937"/>
          </w:tcPr>
          <w:p>
            <w:r>
              <w:rPr>
                <w:sz w:val="20"/>
              </w:rPr>
              <w:t>Jobs to be Done. A product framework for understanding customer needs.</w:t>
            </w:r>
          </w:p>
        </w:tc>
      </w:tr>
      <w:tr>
        <w:tc>
          <w:tcPr>
            <w:tcW w:type="dxa" w:w="2268"/>
          </w:tcPr>
          <w:p>
            <w:r>
              <w:rPr>
                <w:sz w:val="20"/>
              </w:rPr>
              <w:t>LTV</w:t>
            </w:r>
          </w:p>
        </w:tc>
        <w:tc>
          <w:tcPr>
            <w:tcW w:type="dxa" w:w="7937"/>
          </w:tcPr>
          <w:p>
            <w:r>
              <w:rPr>
                <w:sz w:val="20"/>
              </w:rPr>
              <w:t>Lifetime Value. Total revenue generated by a user over their lifetime with the product.</w:t>
            </w:r>
          </w:p>
        </w:tc>
      </w:tr>
      <w:tr>
        <w:tc>
          <w:tcPr>
            <w:tcW w:type="dxa" w:w="2268"/>
          </w:tcPr>
          <w:p>
            <w:r>
              <w:rPr>
                <w:sz w:val="20"/>
              </w:rPr>
              <w:t>MAPE</w:t>
            </w:r>
          </w:p>
        </w:tc>
        <w:tc>
          <w:tcPr>
            <w:tcW w:type="dxa" w:w="7937"/>
          </w:tcPr>
          <w:p>
            <w:r>
              <w:rPr>
                <w:sz w:val="20"/>
              </w:rPr>
              <w:t>Mean Absolute Percentage Error. A measure of forecast accuracy.</w:t>
            </w:r>
          </w:p>
        </w:tc>
      </w:tr>
      <w:tr>
        <w:tc>
          <w:tcPr>
            <w:tcW w:type="dxa" w:w="2268"/>
          </w:tcPr>
          <w:p>
            <w:r>
              <w:rPr>
                <w:sz w:val="20"/>
              </w:rPr>
              <w:t>MAE</w:t>
            </w:r>
          </w:p>
        </w:tc>
        <w:tc>
          <w:tcPr>
            <w:tcW w:type="dxa" w:w="7937"/>
          </w:tcPr>
          <w:p>
            <w:r>
              <w:rPr>
                <w:sz w:val="20"/>
              </w:rPr>
              <w:t>Mean Absolute Error. A measure of forecast accuracy in absolute terms.</w:t>
            </w:r>
          </w:p>
        </w:tc>
      </w:tr>
      <w:tr>
        <w:tc>
          <w:tcPr>
            <w:tcW w:type="dxa" w:w="2268"/>
          </w:tcPr>
          <w:p>
            <w:r>
              <w:rPr>
                <w:sz w:val="20"/>
              </w:rPr>
              <w:t>Monetisation signature</w:t>
            </w:r>
          </w:p>
        </w:tc>
        <w:tc>
          <w:tcPr>
            <w:tcW w:type="dxa" w:w="7937"/>
          </w:tcPr>
          <w:p>
            <w:r>
              <w:rPr>
                <w:sz w:val="20"/>
              </w:rPr>
              <w:t>The detected pattern of how a game monetises (for example, battle pass, gacha, cosmetics-only).</w:t>
            </w:r>
          </w:p>
        </w:tc>
      </w:tr>
      <w:tr>
        <w:tc>
          <w:tcPr>
            <w:tcW w:type="dxa" w:w="2268"/>
          </w:tcPr>
          <w:p>
            <w:r>
              <w:rPr>
                <w:sz w:val="20"/>
              </w:rPr>
              <w:t>NBI</w:t>
            </w:r>
          </w:p>
        </w:tc>
        <w:tc>
          <w:tcPr>
            <w:tcW w:type="dxa" w:w="7937"/>
          </w:tcPr>
          <w:p>
            <w:r>
              <w:rPr>
                <w:sz w:val="20"/>
              </w:rPr>
              <w:t>The brand name for the Human Capital analytics pack within Playsage.</w:t>
            </w:r>
          </w:p>
        </w:tc>
      </w:tr>
      <w:tr>
        <w:tc>
          <w:tcPr>
            <w:tcW w:type="dxa" w:w="2268"/>
          </w:tcPr>
          <w:p>
            <w:r>
              <w:rPr>
                <w:sz w:val="20"/>
              </w:rPr>
              <w:t>NPS</w:t>
            </w:r>
          </w:p>
        </w:tc>
        <w:tc>
          <w:tcPr>
            <w:tcW w:type="dxa" w:w="7937"/>
          </w:tcPr>
          <w:p>
            <w:r>
              <w:rPr>
                <w:sz w:val="20"/>
              </w:rPr>
              <w:t>Net Promoter Score. Standard B2B SaaS satisfaction benchmark. Phased in when user base exceeds 50 respondents.</w:t>
            </w:r>
          </w:p>
        </w:tc>
      </w:tr>
      <w:tr>
        <w:tc>
          <w:tcPr>
            <w:tcW w:type="dxa" w:w="2268"/>
          </w:tcPr>
          <w:p>
            <w:r>
              <w:rPr>
                <w:sz w:val="20"/>
              </w:rPr>
              <w:t>NUU</w:t>
            </w:r>
          </w:p>
        </w:tc>
        <w:tc>
          <w:tcPr>
            <w:tcW w:type="dxa" w:w="7937"/>
          </w:tcPr>
          <w:p>
            <w:r>
              <w:rPr>
                <w:sz w:val="20"/>
              </w:rPr>
              <w:t>New unique users. First-time active users in a period.</w:t>
            </w:r>
          </w:p>
        </w:tc>
      </w:tr>
      <w:tr>
        <w:tc>
          <w:tcPr>
            <w:tcW w:type="dxa" w:w="2268"/>
          </w:tcPr>
          <w:p>
            <w:r>
              <w:rPr>
                <w:sz w:val="20"/>
              </w:rPr>
              <w:t>OIDC</w:t>
            </w:r>
          </w:p>
        </w:tc>
        <w:tc>
          <w:tcPr>
            <w:tcW w:type="dxa" w:w="7937"/>
          </w:tcPr>
          <w:p>
            <w:r>
              <w:rPr>
                <w:sz w:val="20"/>
              </w:rPr>
              <w:t>OpenID Connect. An authentication protocol used for SSO.</w:t>
            </w:r>
          </w:p>
        </w:tc>
      </w:tr>
      <w:tr>
        <w:tc>
          <w:tcPr>
            <w:tcW w:type="dxa" w:w="2268"/>
          </w:tcPr>
          <w:p>
            <w:r>
              <w:rPr>
                <w:sz w:val="20"/>
              </w:rPr>
              <w:t>PMF score</w:t>
            </w:r>
          </w:p>
        </w:tc>
        <w:tc>
          <w:tcPr>
            <w:tcW w:type="dxa" w:w="7937"/>
          </w:tcPr>
          <w:p>
            <w:r>
              <w:rPr>
                <w:sz w:val="20"/>
              </w:rPr>
              <w:t>Product-Market Fit score. Percentage of users who would be very disappointed to lose the product (Sean Ellis test).</w:t>
            </w:r>
          </w:p>
        </w:tc>
      </w:tr>
      <w:tr>
        <w:tc>
          <w:tcPr>
            <w:tcW w:type="dxa" w:w="2268"/>
          </w:tcPr>
          <w:p>
            <w:r>
              <w:rPr>
                <w:sz w:val="20"/>
              </w:rPr>
              <w:t>Prophet</w:t>
            </w:r>
          </w:p>
        </w:tc>
        <w:tc>
          <w:tcPr>
            <w:tcW w:type="dxa" w:w="7937"/>
          </w:tcPr>
          <w:p>
            <w:r>
              <w:rPr>
                <w:sz w:val="20"/>
              </w:rPr>
              <w:t>An open-source time series forecasting library developed by Meta, used in Foresight.</w:t>
            </w:r>
          </w:p>
        </w:tc>
      </w:tr>
      <w:tr>
        <w:tc>
          <w:tcPr>
            <w:tcW w:type="dxa" w:w="2268"/>
          </w:tcPr>
          <w:p>
            <w:r>
              <w:rPr>
                <w:sz w:val="20"/>
              </w:rPr>
              <w:t>RBAC</w:t>
            </w:r>
          </w:p>
        </w:tc>
        <w:tc>
          <w:tcPr>
            <w:tcW w:type="dxa" w:w="7937"/>
          </w:tcPr>
          <w:p>
            <w:r>
              <w:rPr>
                <w:sz w:val="20"/>
              </w:rPr>
              <w:t>Role-Based Access Control. A security model assigning permissions based on user roles.</w:t>
            </w:r>
          </w:p>
        </w:tc>
      </w:tr>
      <w:tr>
        <w:tc>
          <w:tcPr>
            <w:tcW w:type="dxa" w:w="2268"/>
          </w:tcPr>
          <w:p>
            <w:r>
              <w:rPr>
                <w:sz w:val="20"/>
              </w:rPr>
              <w:t>RL</w:t>
            </w:r>
          </w:p>
        </w:tc>
        <w:tc>
          <w:tcPr>
            <w:tcW w:type="dxa" w:w="7937"/>
          </w:tcPr>
          <w:p>
            <w:r>
              <w:rPr>
                <w:sz w:val="20"/>
              </w:rPr>
              <w:t>Reinforcement Learning. A machine learning approach where an agent learns from outcomes.</w:t>
            </w:r>
          </w:p>
        </w:tc>
      </w:tr>
      <w:tr>
        <w:tc>
          <w:tcPr>
            <w:tcW w:type="dxa" w:w="2268"/>
          </w:tcPr>
          <w:p>
            <w:r>
              <w:rPr>
                <w:sz w:val="20"/>
              </w:rPr>
              <w:t>RMSE</w:t>
            </w:r>
          </w:p>
        </w:tc>
        <w:tc>
          <w:tcPr>
            <w:tcW w:type="dxa" w:w="7937"/>
          </w:tcPr>
          <w:p>
            <w:r>
              <w:rPr>
                <w:sz w:val="20"/>
              </w:rPr>
              <w:t>Root Mean Square Error. A measure of forecast accuracy, weighted towards larger errors.</w:t>
            </w:r>
          </w:p>
        </w:tc>
      </w:tr>
      <w:tr>
        <w:tc>
          <w:tcPr>
            <w:tcW w:type="dxa" w:w="2268"/>
          </w:tcPr>
          <w:p>
            <w:r>
              <w:rPr>
                <w:sz w:val="20"/>
              </w:rPr>
              <w:t>ROAS</w:t>
            </w:r>
          </w:p>
        </w:tc>
        <w:tc>
          <w:tcPr>
            <w:tcW w:type="dxa" w:w="7937"/>
          </w:tcPr>
          <w:p>
            <w:r>
              <w:rPr>
                <w:sz w:val="20"/>
              </w:rPr>
              <w:t>Return on Ad Spend. Revenue generated per unit of advertising cost.</w:t>
            </w:r>
          </w:p>
        </w:tc>
      </w:tr>
      <w:tr>
        <w:tc>
          <w:tcPr>
            <w:tcW w:type="dxa" w:w="2268"/>
          </w:tcPr>
          <w:p>
            <w:r>
              <w:rPr>
                <w:sz w:val="20"/>
              </w:rPr>
              <w:t>The Sage</w:t>
            </w:r>
          </w:p>
        </w:tc>
        <w:tc>
          <w:tcPr>
            <w:tcW w:type="dxa" w:w="7937"/>
          </w:tcPr>
          <w:p>
            <w:r>
              <w:rPr>
                <w:sz w:val="20"/>
              </w:rPr>
              <w:t>Playsage’s AI advisor module that recommends next-best actions with evidence and expected lift ranges.</w:t>
            </w:r>
          </w:p>
        </w:tc>
      </w:tr>
      <w:tr>
        <w:tc>
          <w:tcPr>
            <w:tcW w:type="dxa" w:w="2268"/>
          </w:tcPr>
          <w:p>
            <w:r>
              <w:rPr>
                <w:sz w:val="20"/>
              </w:rPr>
              <w:t>SLO</w:t>
            </w:r>
          </w:p>
        </w:tc>
        <w:tc>
          <w:tcPr>
            <w:tcW w:type="dxa" w:w="7937"/>
          </w:tcPr>
          <w:p>
            <w:r>
              <w:rPr>
                <w:sz w:val="20"/>
              </w:rPr>
              <w:t>Service Level Objective. A target for system performance such as latency or availability.</w:t>
            </w:r>
          </w:p>
        </w:tc>
      </w:tr>
      <w:tr>
        <w:tc>
          <w:tcPr>
            <w:tcW w:type="dxa" w:w="2268"/>
          </w:tcPr>
          <w:p>
            <w:r>
              <w:rPr>
                <w:sz w:val="20"/>
              </w:rPr>
              <w:t>SSO</w:t>
            </w:r>
          </w:p>
        </w:tc>
        <w:tc>
          <w:tcPr>
            <w:tcW w:type="dxa" w:w="7937"/>
          </w:tcPr>
          <w:p>
            <w:r>
              <w:rPr>
                <w:sz w:val="20"/>
              </w:rPr>
              <w:t>Single Sign-On. Authentication via Google or Microsoft OIDC.</w:t>
            </w:r>
          </w:p>
        </w:tc>
      </w:tr>
      <w:tr>
        <w:tc>
          <w:tcPr>
            <w:tcW w:type="dxa" w:w="2268"/>
          </w:tcPr>
          <w:p>
            <w:r>
              <w:rPr>
                <w:sz w:val="20"/>
              </w:rPr>
              <w:t>TAM/SAM/SOM</w:t>
            </w:r>
          </w:p>
        </w:tc>
        <w:tc>
          <w:tcPr>
            <w:tcW w:type="dxa" w:w="7937"/>
          </w:tcPr>
          <w:p>
            <w:r>
              <w:rPr>
                <w:sz w:val="20"/>
              </w:rPr>
              <w:t>Total Addressable Market / Serviceable Addressable Market / Serviceable Obtainable Market.</w:t>
            </w:r>
          </w:p>
        </w:tc>
      </w:tr>
      <w:tr>
        <w:tc>
          <w:tcPr>
            <w:tcW w:type="dxa" w:w="2268"/>
          </w:tcPr>
          <w:p>
            <w:r>
              <w:rPr>
                <w:sz w:val="20"/>
              </w:rPr>
              <w:t>UA</w:t>
            </w:r>
          </w:p>
        </w:tc>
        <w:tc>
          <w:tcPr>
            <w:tcW w:type="dxa" w:w="7937"/>
          </w:tcPr>
          <w:p>
            <w:r>
              <w:rPr>
                <w:sz w:val="20"/>
              </w:rPr>
              <w:t>User Acquisition. Marketing efforts to attract new players to a game.</w:t>
            </w:r>
          </w:p>
        </w:tc>
      </w:tr>
    </w:tbl>
    <w:p/>
    <w:p>
      <w:pPr>
        <w:pStyle w:val="Heading1"/>
      </w:pPr>
      <w:r>
        <w:t>Appendix A: Demo plan and script</w:t>
      </w:r>
    </w:p>
    <w:p>
      <w:pPr>
        <w:pStyle w:val="Heading3"/>
      </w:pPr>
      <w:r>
        <w:t>Demo script (5 minutes)</w:t>
      </w:r>
    </w:p>
    <w:p>
      <w:r>
        <w:t>Minute 0 to 1: Market Overview orientation. Open dashboard, show portfolio health summary. Filter by genre (for example, Shooter) and platform (Steam). Highlight a top mover. Show provenance detail on an estimated metric.</w:t>
      </w:r>
    </w:p>
    <w:p>
      <w:r>
        <w:t>Minute 1 to 2: Competitive Landscape teardown. Select a tracked title versus a competitor. Walk through the KPI comparison, feature diff matrix, and What Changed inspector. Show a version annotation pin linked to patch notes.</w:t>
      </w:r>
    </w:p>
    <w:p>
      <w:r>
        <w:t>Minute 2 to 3: Foresight scenario. Open the forecast view for the tracked title. Show the 90-day forecast with backtest ribbon. Toggle a pricing lever and show the expected revenue delta with reason codes.</w:t>
      </w:r>
    </w:p>
    <w:p>
      <w:r>
        <w:t>Minute 3 to 4: Sage recommendation. Navigate to The Sage. Show a recommendation card with rationale, expected lift range, and evidence links. Demonstrate the accept/reject flow and outcome logging.</w:t>
      </w:r>
    </w:p>
    <w:p>
      <w:r>
        <w:t>Minute 4 to 5: Export and Q&amp;A. Export the dashboard as PDF. Show the provenance watermark. Open for investor questions. Have 2 to 3 prepared answers for common questions (data freshness, accuracy, competitive differentiation).</w:t>
      </w:r>
    </w:p>
    <w:p>
      <w:pPr>
        <w:pStyle w:val="Heading3"/>
      </w:pPr>
      <w:r>
        <w:t>Title selection</w:t>
      </w:r>
    </w:p>
    <w:p>
      <w:r>
        <w:t>Choose 3 to 5 titles from the seeded catalog that demonstrate genre diversity, data richness, and audience familiarity. At least one title should be a recognisable AAA live-service game.</w:t>
      </w:r>
    </w:p>
    <w:p>
      <w:pPr>
        <w:pStyle w:val="Heading3"/>
      </w:pPr>
      <w:r>
        <w:t>Fallback testing</w:t>
      </w:r>
    </w:p>
    <w:p>
      <w:r>
        <w:t>Rehearse the full demo script at least 3 times on the offline fallback before the live meeting. Verify all filters, exports, and interactions function from cached data. Test on the venue’s display resolution and network conditions.</w:t>
      </w:r>
    </w:p>
    <w:p>
      <w:pPr>
        <w:pStyle w:val="Heading3"/>
      </w:pPr>
      <w:r>
        <w:t>Offline infrastructure</w:t>
      </w:r>
    </w:p>
    <w:p>
      <w:r>
        <w:rPr>
          <w:b/>
        </w:rPr>
        <w:t xml:space="preserve">Cached/precomputed: </w:t>
      </w:r>
      <w:r>
        <w:t>All tile data for the seeded catalog is precomputed and stored locally. Forecast models are pre-fit and cached. Sentiment topics and verbatims are pre-rendered.</w:t>
      </w:r>
    </w:p>
    <w:p>
      <w:r>
        <w:rPr>
          <w:b/>
        </w:rPr>
        <w:t xml:space="preserve">Forced-cache control: </w:t>
      </w:r>
      <w:r>
        <w:t>A demo mode toggle forces all requests to serve from local cache, bypassing network calls.</w:t>
      </w:r>
    </w:p>
    <w:p>
      <w:r>
        <w:rPr>
          <w:b/>
        </w:rPr>
        <w:t xml:space="preserve">Parity expectations: </w:t>
      </w:r>
      <w:r>
        <w:t>Offline tiles must render identically to live tiles. All filters, exports, and interactions function from cached data.</w:t>
      </w:r>
    </w:p>
    <w:p>
      <w:r>
        <w:rPr>
          <w:b/>
        </w:rPr>
        <w:t xml:space="preserve">Offline limitations: </w:t>
      </w:r>
      <w:r>
        <w:t>No new alert creation. No API try-it calls. No real-time data refresh. All limitations hidden in demo mode.</w:t>
      </w:r>
    </w:p>
    <w:p>
      <w:pPr>
        <w:pStyle w:val="Heading1"/>
      </w:pPr>
      <w:r>
        <w:t>Appendix B: Global policies and defaults</w:t>
      </w:r>
    </w:p>
    <w:p>
      <w:r>
        <w:t>Note: this appendix consolidates policies defined throughout the PRD for quick reference.</w:t>
      </w:r>
    </w:p>
    <w:tbl>
      <w:tblPr>
        <w:tblStyle w:val="LightGrid-Accent1"/>
        <w:tblW w:type="auto" w:w="0"/>
        <w:jc w:val="left"/>
        <w:tblLook w:firstColumn="1" w:firstRow="1" w:lastColumn="0" w:lastRow="0" w:noHBand="0" w:noVBand="1" w:val="04A0"/>
      </w:tblPr>
      <w:tblGrid>
        <w:gridCol w:w="4320"/>
        <w:gridCol w:w="4320"/>
      </w:tblGrid>
      <w:tr>
        <w:tc>
          <w:tcPr>
            <w:tcW w:type="dxa" w:w="1701"/>
          </w:tcPr>
          <w:p>
            <w:r>
              <w:rPr>
                <w:b/>
                <w:sz w:val="20"/>
              </w:rPr>
              <w:t>Role</w:t>
            </w:r>
          </w:p>
        </w:tc>
        <w:tc>
          <w:tcPr>
            <w:tcW w:type="dxa" w:w="8504"/>
          </w:tcPr>
          <w:p>
            <w:r>
              <w:rPr>
                <w:b/>
                <w:sz w:val="20"/>
              </w:rPr>
              <w:t>Capabilities</w:t>
            </w:r>
          </w:p>
        </w:tc>
      </w:tr>
      <w:tr>
        <w:tc>
          <w:tcPr>
            <w:tcW w:type="dxa" w:w="1701"/>
          </w:tcPr>
          <w:p>
            <w:r>
              <w:rPr>
                <w:sz w:val="20"/>
              </w:rPr>
              <w:t>Admin</w:t>
            </w:r>
          </w:p>
        </w:tc>
        <w:tc>
          <w:tcPr>
            <w:tcW w:type="dxa" w:w="8504"/>
          </w:tcPr>
          <w:p>
            <w:r>
              <w:rPr>
                <w:sz w:val="20"/>
              </w:rPr>
              <w:t>All access, user management, org settings, billing, role assignment, The Sage policy configuration, model parameter configuration</w:t>
            </w:r>
          </w:p>
        </w:tc>
      </w:tr>
      <w:tr>
        <w:tc>
          <w:tcPr>
            <w:tcW w:type="dxa" w:w="1701"/>
          </w:tcPr>
          <w:p>
            <w:r>
              <w:rPr>
                <w:sz w:val="20"/>
              </w:rPr>
              <w:t>Editor</w:t>
            </w:r>
          </w:p>
        </w:tc>
        <w:tc>
          <w:tcPr>
            <w:tcW w:type="dxa" w:w="8504"/>
          </w:tcPr>
          <w:p>
            <w:r>
              <w:rPr>
                <w:sz w:val="20"/>
              </w:rPr>
              <w:t>Org-wide dashboards, alerts, reports, shared scenarios, The Sage accept/reject, peer-set editing</w:t>
            </w:r>
          </w:p>
        </w:tc>
      </w:tr>
      <w:tr>
        <w:tc>
          <w:tcPr>
            <w:tcW w:type="dxa" w:w="1701"/>
          </w:tcPr>
          <w:p>
            <w:r>
              <w:rPr>
                <w:sz w:val="20"/>
              </w:rPr>
              <w:t>Viewer</w:t>
            </w:r>
          </w:p>
        </w:tc>
        <w:tc>
          <w:tcPr>
            <w:tcW w:type="dxa" w:w="8504"/>
          </w:tcPr>
          <w:p>
            <w:r>
              <w:rPr>
                <w:sz w:val="20"/>
              </w:rPr>
              <w:t>Read all data, save personal views, create personal alerts, explore scenarios (read-only)</w:t>
            </w:r>
          </w:p>
        </w:tc>
      </w:tr>
    </w:tbl>
    <w:p/>
    <w:p>
      <w:r>
        <w:rPr>
          <w:b/>
        </w:rPr>
        <w:t xml:space="preserve">Authentication: </w:t>
      </w:r>
      <w:r>
        <w:t>SSO via Google and Microsoft (OIDC). No local password authentication for v1.</w:t>
      </w:r>
    </w:p>
    <w:p>
      <w:r>
        <w:rPr>
          <w:b/>
        </w:rPr>
        <w:t xml:space="preserve">Export formats: </w:t>
      </w:r>
      <w:r>
        <w:t>CSV, XLSX, PDF (with watermark and provenance), PNG, PPT (v1: template-based single-module exports only).</w:t>
      </w:r>
    </w:p>
    <w:p>
      <w:r>
        <w:rPr>
          <w:b/>
        </w:rPr>
        <w:t xml:space="preserve">Scheduled reports: </w:t>
      </w:r>
      <w:r>
        <w:t>Weekly Industry Brief (1-page summary: top movers, notable releases, sentiment shifts, Sage highlights) and Monthly Genre Pack.</w:t>
      </w:r>
    </w:p>
    <w:p>
      <w:r>
        <w:rPr>
          <w:b/>
        </w:rPr>
        <w:t xml:space="preserve">Performance ceilings: </w:t>
      </w:r>
      <w:r>
        <w:t>Filter interactions: 3 seconds or less. Export generation: 120 seconds or less.</w:t>
      </w:r>
    </w:p>
    <w:p>
      <w:r>
        <w:rPr>
          <w:b/>
        </w:rPr>
        <w:t xml:space="preserve">Provenance and trust: </w:t>
      </w:r>
      <w:r>
        <w:t>All modelled metrics labelled Estimated. Provenance detail includes source, transform summary, and last refresh. UI treatment TBD in UX pass.</w:t>
      </w:r>
    </w:p>
    <w:p>
      <w:r>
        <w:rPr>
          <w:b/>
        </w:rPr>
        <w:t xml:space="preserve">Finance defaults: </w:t>
      </w:r>
      <w:r>
        <w:t>Storefront fee schedules per store with per-title overrides. Price elasticity defaults for Box and DLC. Apple EU alternative terms and Google user-choice billing toggles. Revenue recognition by item class (battle pass straight-line over season; subscriptions monthly; cosmetics and consumables immediate; user-configurable via control panel).</w:t>
      </w:r>
    </w:p>
    <w:p>
      <w:r>
        <w:rPr>
          <w:b/>
        </w:rPr>
        <w:t xml:space="preserve">Regions for Box/DLC v1: </w:t>
      </w:r>
      <w:r>
        <w:t>US, UK, EU-West (France, Spain, Germany, Sweden, Italy), EU-East (Poland, Czechia, Hungary, Romania, Slovakia).</w:t>
      </w:r>
    </w:p>
    <w:p>
      <w:pPr>
        <w:pStyle w:val="Heading1"/>
      </w:pPr>
      <w:r>
        <w:t>Appendix C: Architecture and wireframe placeholders</w:t>
      </w:r>
    </w:p>
    <w:p>
      <w:r>
        <w:t>This appendix serves as a placeholder for visual assets that must be created before Alpha build. A PRD for a 20-module visual analytics product requires visual representation to complement the text specifications.</w:t>
      </w:r>
    </w:p>
    <w:p>
      <w:r>
        <w:t>Required visual assets:</w:t>
      </w:r>
    </w:p>
    <w:p>
      <w:pPr>
        <w:pStyle w:val="ListNumber"/>
      </w:pPr>
      <w:r>
        <w:t>Navigation sitemap: a diagram showing all modules (including Human Capital sub-nav), their navigation relationships, and the breadcrumb hierarchy.</w:t>
      </w:r>
    </w:p>
    <w:p>
      <w:pPr>
        <w:pStyle w:val="ListNumber"/>
      </w:pPr>
      <w:r>
        <w:t>Dashboard layout wireframe: a low-fidelity sketch of the Executive Dashboard 6-tile default grid, showing tile sizing, arrangement, and interaction targets.</w:t>
      </w:r>
    </w:p>
    <w:p>
      <w:pPr>
        <w:pStyle w:val="ListNumber"/>
      </w:pPr>
      <w:r>
        <w:t>Key user flow for the 5-minute demo: a flow diagram showing the screen-by-screen journey from Market Overview through Foresight to Sage recommendation to export.</w:t>
      </w:r>
    </w:p>
    <w:p>
      <w:pPr>
        <w:pStyle w:val="ListNumber"/>
      </w:pPr>
      <w:r>
        <w:t>Filter and drill-down interaction pattern: a wireframe showing the persistent filter bar, dropdown selectors, and how drill-down context is preserved across modules.</w:t>
      </w:r>
    </w:p>
    <w:p>
      <w:pPr>
        <w:pStyle w:val="ListNumber"/>
      </w:pPr>
      <w:r>
        <w:t>System architecture diagram: a diagram showing the data flow from sources (App Store, Google Play, Steam, Metacritic, OpenCritic, publisher newsrooms, HR/ATS/LMS connectors) through ingestion, storage (PostgreSQL and DuckDB), processing (normalisation, topic modelling, forecasting, Sage rules), API layer (FastAPI), to frontend (Next.js).</w:t>
      </w:r>
    </w:p>
    <w:p>
      <w:pPr>
        <w:pStyle w:val="ListNumber"/>
      </w:pPr>
      <w:r>
        <w:t>Foresight Scenario Builder wireframe: a wireframe showing the scenario type selector, parameter controls, live chart with bands and deltas, and reason chips.</w:t>
      </w:r>
    </w:p>
    <w:p>
      <w:r>
        <w:t>Owner: UX Lead (wireframes 1 to 4 and 6), Engineering Lead (diagram 5). Due: before Alpha build.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86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86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