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2026</w:t>
      </w:r>
    </w:p>
    <w:p>
      <w:pPr>
        <w:pStyle w:val="Heading1"/>
      </w:pPr>
      <w:r>
        <w:t>Introduction</w:t>
      </w:r>
    </w:p>
    <w:p>
      <w:r>
        <w:t>The committee met on Monday and reviewed the quarterly figures in detail.</w:t>
      </w:r>
    </w:p>
    <w:p>
      <w:pPr>
        <w:pStyle w:val="Heading1"/>
      </w:pPr>
      <w:r>
        <w:t>Budget overview</w:t>
      </w:r>
    </w:p>
    <w:p>
      <w:r>
        <w:t>Revenue rose in every region, and costs stayed within the agreed budget.</w:t>
      </w:r>
    </w:p>
    <w:p>
      <w:pPr>
        <w:pStyle w:val="Heading2"/>
      </w:pPr>
      <w:r>
        <w:t>Detailed figures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