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Q0 2024</w:t>
            </w:r>
          </w:p>
        </w:tc>
        <w:tc>
          <w:tcPr>
            <w:tcW w:type="dxa" w:w="2880"/>
          </w:tcPr>
          <w:p>
            <w:r>
              <w:t>Q0 2025</w:t>
            </w:r>
          </w:p>
        </w:tc>
        <w:tc>
          <w:tcPr>
            <w:tcW w:type="dxa" w:w="2880"/>
          </w:tcPr>
          <w:p>
            <w:r>
              <w:t>Q0 2026</w:t>
            </w:r>
          </w:p>
        </w:tc>
      </w:tr>
      <w:tr>
        <w:tc>
          <w:tcPr>
            <w:tcW w:type="dxa" w:w="2880"/>
          </w:tcPr>
          <w:p>
            <w:r>
              <w:t>Q1 2024</w:t>
            </w:r>
          </w:p>
        </w:tc>
        <w:tc>
          <w:tcPr>
            <w:tcW w:type="dxa" w:w="2880"/>
          </w:tcPr>
          <w:p>
            <w:r>
              <w:t>Q1 2025</w:t>
            </w:r>
          </w:p>
        </w:tc>
        <w:tc>
          <w:tcPr>
            <w:tcW w:type="dxa" w:w="2880"/>
          </w:tcPr>
          <w:p>
            <w:r>
              <w:t>Q1 2026</w:t>
            </w:r>
          </w:p>
        </w:tc>
      </w:tr>
    </w:tbl>
    <w:p>
      <w:r>
        <w:t>Revenue rose in every region, and costs stayed within the agreed budget.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Cost 00</w:t>
            </w:r>
          </w:p>
        </w:tc>
        <w:tc>
          <w:tcPr>
            <w:tcW w:type="dxa" w:w="2880"/>
          </w:tcPr>
          <w:p>
            <w:r>
              <w:t>Cost 01</w:t>
            </w:r>
          </w:p>
        </w:tc>
        <w:tc>
          <w:tcPr>
            <w:tcW w:type="dxa" w:w="2880"/>
          </w:tcPr>
          <w:p>
            <w:r>
              <w:t>Cost 02</w:t>
            </w:r>
          </w:p>
        </w:tc>
      </w:tr>
      <w:tr>
        <w:tc>
          <w:tcPr>
            <w:tcW w:type="dxa" w:w="2880"/>
          </w:tcPr>
          <w:p>
            <w:r>
              <w:t>Cost 10</w:t>
            </w:r>
          </w:p>
        </w:tc>
        <w:tc>
          <w:tcPr>
            <w:tcW w:type="dxa" w:w="2880"/>
          </w:tcPr>
          <w:p>
            <w:r>
              <w:t>Cost 11</w:t>
            </w:r>
          </w:p>
        </w:tc>
        <w:tc>
          <w:tcPr>
            <w:tcW w:type="dxa" w:w="2880"/>
          </w:tcPr>
          <w:p>
            <w:r>
              <w:t>Cost 12</w:t>
            </w:r>
          </w:p>
        </w:tc>
      </w:tr>
    </w:tbl>
    <w:p>
      <w:r>
        <w:t>The new reporting process will start next month after a short pilot.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