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Q0 2026-01-15 0</w:t>
            </w:r>
          </w:p>
        </w:tc>
        <w:tc>
          <w:tcPr>
            <w:tcW w:type="dxa" w:w="2880"/>
          </w:tcPr>
          <w:p>
            <w:r>
              <w:t>Q0 2026-02-15 1</w:t>
            </w:r>
          </w:p>
        </w:tc>
        <w:tc>
          <w:tcPr>
            <w:tcW w:type="dxa" w:w="2880"/>
          </w:tcPr>
          <w:p>
            <w:r>
              <w:t>Q0 2026-03-15 2</w:t>
            </w:r>
          </w:p>
        </w:tc>
      </w:tr>
      <w:tr>
        <w:tc>
          <w:tcPr>
            <w:tcW w:type="dxa" w:w="2880"/>
          </w:tcPr>
          <w:p>
            <w:r>
              <w:t>Q1 2026-01-15 100</w:t>
            </w:r>
          </w:p>
        </w:tc>
        <w:tc>
          <w:tcPr>
            <w:tcW w:type="dxa" w:w="2880"/>
          </w:tcPr>
          <w:p>
            <w:r>
              <w:t>Q1 2026-02-15 101</w:t>
            </w:r>
          </w:p>
        </w:tc>
        <w:tc>
          <w:tcPr>
            <w:tcW w:type="dxa" w:w="2880"/>
          </w:tcPr>
          <w:p>
            <w:r>
              <w:t>Q1 2026-03-15 102</w:t>
            </w:r>
          </w:p>
        </w:tc>
      </w:tr>
      <w:tr>
        <w:tc>
          <w:tcPr>
            <w:tcW w:type="dxa" w:w="2880"/>
          </w:tcPr>
          <w:p>
            <w:r>
              <w:t>Q2 2026-01-15 200</w:t>
            </w:r>
          </w:p>
        </w:tc>
        <w:tc>
          <w:tcPr>
            <w:tcW w:type="dxa" w:w="2880"/>
          </w:tcPr>
          <w:p>
            <w:r>
              <w:t>Q2 2026-02-15 201</w:t>
            </w:r>
          </w:p>
        </w:tc>
        <w:tc>
          <w:tcPr>
            <w:tcW w:type="dxa" w:w="2880"/>
          </w:tcPr>
          <w:p>
            <w:r>
              <w:t>Q2 2026-03-15 202</w:t>
            </w:r>
          </w:p>
        </w:tc>
      </w:tr>
    </w:tbl>
    <w:p>
      <w:r>
        <w:t>Revenue rose in every region, and costs stayed within the agreed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00 = 0,50</w:t>
            </w:r>
          </w:p>
        </w:tc>
        <w:tc>
          <w:tcPr>
            <w:tcW w:type="dxa" w:w="2880"/>
          </w:tcPr>
          <w:p>
            <w:r>
              <w:t>Cost 01 = 1,50</w:t>
            </w:r>
          </w:p>
        </w:tc>
        <w:tc>
          <w:tcPr>
            <w:tcW w:type="dxa" w:w="2880"/>
          </w:tcPr>
          <w:p>
            <w:r>
              <w:t>Cost 02 = 2,50</w:t>
            </w:r>
          </w:p>
        </w:tc>
      </w:tr>
      <w:tr>
        <w:tc>
          <w:tcPr>
            <w:tcW w:type="dxa" w:w="2880"/>
          </w:tcPr>
          <w:p>
            <w:r>
              <w:t>Cost 10 = 7,50</w:t>
            </w:r>
          </w:p>
        </w:tc>
        <w:tc>
          <w:tcPr>
            <w:tcW w:type="dxa" w:w="2880"/>
          </w:tcPr>
          <w:p>
            <w:r>
              <w:t>Cost 11 = 8,50</w:t>
            </w:r>
          </w:p>
        </w:tc>
        <w:tc>
          <w:tcPr>
            <w:tcW w:type="dxa" w:w="2880"/>
          </w:tcPr>
          <w:p>
            <w:r>
              <w:t>Cost 12 = 9,50</w:t>
            </w:r>
          </w:p>
        </w:tc>
      </w:tr>
      <w:tr>
        <w:tc>
          <w:tcPr>
            <w:tcW w:type="dxa" w:w="2880"/>
          </w:tcPr>
          <w:p>
            <w:r>
              <w:t>Cost 20 = 14,50</w:t>
            </w:r>
          </w:p>
        </w:tc>
        <w:tc>
          <w:tcPr>
            <w:tcW w:type="dxa" w:w="2880"/>
          </w:tcPr>
          <w:p>
            <w:r>
              <w:t>Cost 21 = 15,50</w:t>
            </w:r>
          </w:p>
        </w:tc>
        <w:tc>
          <w:tcPr>
            <w:tcW w:type="dxa" w:w="2880"/>
          </w:tcPr>
          <w:p>
            <w:r>
              <w:t>Cost 22 = 16,50</w:t>
            </w:r>
          </w:p>
        </w:tc>
      </w:tr>
    </w:tbl>
    <w:p>
      <w:r>
        <w:t>The new reporting process will start next month after a short pilot.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Short 00</w:t>
            </w:r>
          </w:p>
        </w:tc>
        <w:tc>
          <w:tcPr>
            <w:tcW w:type="dxa" w:w="2880"/>
          </w:tcPr>
          <w:p>
            <w:r>
              <w:t>Short 01</w:t>
            </w:r>
          </w:p>
        </w:tc>
        <w:tc>
          <w:tcPr>
            <w:tcW w:type="dxa" w:w="2880"/>
          </w:tcPr>
          <w:p>
            <w:r>
              <w:t>Short 02</w:t>
            </w:r>
          </w:p>
        </w:tc>
      </w:tr>
      <w:tr>
        <w:tc>
          <w:tcPr>
            <w:tcW w:type="dxa" w:w="2880"/>
          </w:tcPr>
          <w:p>
            <w:r>
              <w:t>Short 10</w:t>
            </w:r>
          </w:p>
        </w:tc>
        <w:tc>
          <w:tcPr>
            <w:tcW w:type="dxa" w:w="2880"/>
          </w:tcPr>
          <w:p>
            <w:r>
              <w:t>Short 11</w:t>
            </w:r>
          </w:p>
        </w:tc>
        <w:tc>
          <w:tcPr>
            <w:tcW w:type="dxa" w:w="2880"/>
          </w:tcPr>
          <w:p>
            <w:r>
              <w:t>Short 12</w:t>
            </w:r>
          </w:p>
        </w:tc>
      </w:tr>
      <w:tr>
        <w:tc>
          <w:tcPr>
            <w:tcW w:type="dxa" w:w="2880"/>
          </w:tcPr>
          <w:p>
            <w:r>
              <w:t>Short 20</w:t>
            </w:r>
          </w:p>
        </w:tc>
        <w:tc>
          <w:tcPr>
            <w:tcW w:type="dxa" w:w="2880"/>
          </w:tcPr>
          <w:p>
            <w:r>
              <w:t>Short 21</w:t>
            </w:r>
          </w:p>
        </w:tc>
      </w:tr>
    </w:tbl>
    <w:p>
      <w:r>
        <w:t>Each team lead will send a summary of open questions by Friday.</w:t>
      </w:r>
    </w:p>
    <w:p/>
    <w:p/>
    <w:p>
      <w:r>
        <w:t>The next meeting is planned for the first week of the following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