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r>
        <w:t xml:space="preserve">Totals are final </w:t>
      </w:r>
      <w:r>
        <w:rPr>
          <w:rFonts w:ascii="Comic Sans MS" w:hAnsi="Comic Sans MS"/>
        </w:rPr>
        <w:t>except the travel budget</w:t>
      </w:r>
      <w:r>
        <w:t xml:space="preserve"> for 2026.</w:t>
      </w:r>
    </w:p>
    <w:p>
      <w:r>
        <w:t xml:space="preserve">Approved </w:t>
      </w:r>
      <w:r>
        <w:rPr>
          <w:rFonts w:ascii="Wingdings" w:hAnsi="Wingdings"/>
        </w:rPr>
        <w:t></w:t>
      </w:r>
      <w:r>
        <w:t xml:space="preserve"> by the board on 2026-10-01.</w:t>
      </w:r>
    </w:p>
    <w:p>
      <w:r>
        <w:t>The new reporting process will start next month after a short pilot.</w:t>
      </w:r>
    </w:p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