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background</w:t>
      </w:r>
    </w:p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pPr>
        <w:pStyle w:val="Heading1"/>
      </w:pPr>
      <w:r>
        <w:t>Delivery plan</w:t>
      </w:r>
    </w:p>
    <w:p>
      <w:r>
        <w:t>Revenue rose in every region, and costs stayed within the agreed budget.</w:t>
      </w:r>
    </w:p>
    <w:p>
      <w:r>
        <w:t>The new reporting process will start next month after a short pilot.</w:t>
      </w:r>
    </w:p>
    <w:p>
      <w:pPr>
        <w:pStyle w:val="Heading1"/>
      </w:pPr>
      <w:r>
        <w:t>Risks and costs</w:t>
      </w:r>
    </w:p>
    <w:p>
      <w:r>
        <w:t>The new reporting process will start next month after a short pilot.</w:t>
      </w:r>
    </w:p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