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The committee met on Monday and reviewed the quarterly figures in detail.</w:t>
      </w:r>
    </w:p>
    <w:p>
      <w:r>
        <w:br w:type="page"/>
      </w:r>
    </w:p>
    <w:p>
      <w:pPr>
        <w:pageBreakBefore/>
      </w:pPr>
      <w:r>
        <w:t>Appendix starts here.</w:t>
      </w:r>
    </w:p>
    <w:p>
      <w:r>
        <w:t>Revenue rose in every region, and costs stayed within the agreed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