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committee met on Monday and reviewed the quarterly figures in detail.</w:t>
      </w:r>
    </w:p>
    <w:p>
      <w:r>
        <w:t>Revenue rose in every region, and costs stayed within the agreed budget.</w:t>
      </w:r>
    </w:p>
    <w:p/>
    <w:p>
      <w:r>
        <w:t>The new reporting process will start next month after a short pilot.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Each team lead will send a summary of open questions by Friday.</w:t>
      </w:r>
    </w:p>
    <w:p>
      <w:r>
        <w:t>The next meeting is planned for the first week of the following month.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Northwind Ltd - Annual report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Northwind Limited - Annual report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