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commentRangeStart w:id="0"/>
      <w:r>
        <w:t>Total due: 4,800.00 EUR by 2026-12-31.</w:t>
      </w:r>
      <w:commentRangeEnd w:id="0"/>
      <w:r>
        <w:rPr>
          <w:rStyle w:val="CommentReference"/>
        </w:rPr>
        <w:commentReference w:id="0"/>
      </w:r>
    </w:p>
    <w:p/>
    <w:p>
      <w:r>
        <w:t>Revenue rose in every region, and costs stayed within the agreed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10-15T09:00:00Z">
    <w:p>
      <w:pPr>
        <w:pStyle w:val="CommentText"/>
      </w:pPr>
      <w:r>
        <w:rPr>
          <w:rStyle w:val="CommentReference"/>
        </w:rPr>
        <w:annotationRef/>
      </w:r>
      <w:r>
        <w:t>Check the total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