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rPr>
          <w:rFonts w:ascii="Comic Sans MS" w:hAnsi="Comic Sans MS"/>
        </w:rPr>
        <w:t>The new reporting process will start next month after a short pilot.</w:t>
      </w:r>
    </w:p>
    <w:p>
      <w:r>
        <w:rPr>
          <w:rFonts w:ascii="Comic Sans MS" w:hAnsi="Comic Sans MS"/>
        </w:rPr>
        <w:t>Each team lead will send a summary of open questions by Friday.</w:t>
      </w:r>
    </w:p>
    <w:p>
      <w:r>
        <w:t>The next meeting is planned for the first week of the following month.</w:t>
      </w:r>
    </w:p>
    <w:p>
      <w:r>
        <w:t>The committee met on Monday and reviewed the quarterly figures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