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tbl>
      <w:tblPr>
        <w:tblW w:w="11338" w:type="dxa"/>
        <w:tblLayout w:type="fixed"/>
        <w:tblLook w:firstColumn="1" w:firstRow="1" w:lastColumn="0" w:lastRow="0" w:noHBand="0" w:noVBand="1" w:val="04A0"/>
      </w:tblPr>
      <w:tblGrid>
        <w:gridCol w:w="3779"/>
        <w:gridCol w:w="3779"/>
        <w:gridCol w:w="3779"/>
      </w:tblGrid>
      <w:tr>
        <w:tc>
          <w:tcPr>
            <w:tcW w:type="dxa" w:w="3780"/>
          </w:tcPr>
          <w:p>
            <w:r>
              <w:t>Cell 1</w:t>
            </w:r>
          </w:p>
        </w:tc>
        <w:tc>
          <w:tcPr>
            <w:tcW w:type="dxa" w:w="3780"/>
          </w:tcPr>
          <w:p>
            <w:r>
              <w:t>Cell 2</w:t>
            </w:r>
          </w:p>
        </w:tc>
        <w:tc>
          <w:tcPr>
            <w:tcW w:type="dxa" w:w="3780"/>
          </w:tcPr>
          <w:p>
            <w:r>
              <w:t>Cell 3</w:t>
            </w:r>
          </w:p>
        </w:tc>
      </w:tr>
      <w:tr>
        <w:tc>
          <w:tcPr>
            <w:tcW w:type="dxa" w:w="3780"/>
          </w:tcPr>
          <w:p>
            <w:r>
              <w:t>Cell 1</w:t>
            </w:r>
          </w:p>
        </w:tc>
        <w:tc>
          <w:tcPr>
            <w:tcW w:type="dxa" w:w="3780"/>
          </w:tcPr>
          <w:p>
            <w:r>
              <w:t>Cell 2</w:t>
            </w:r>
          </w:p>
        </w:tc>
        <w:tc>
          <w:tcPr>
            <w:tcW w:type="dxa" w:w="3780"/>
          </w:tcPr>
          <w:p>
            <w:r>
              <w:t>Cell 3</w:t>
            </w:r>
          </w:p>
        </w:tc>
      </w:tr>
    </w:tbl>
    <w:p>
      <w:r>
        <w:t>Revenue rose in every region, and costs stayed within the agreed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