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The blue box.</w:t>
      </w:r>
    </w:p>
    <w:p>
      <w:r>
        <w:t>Table 1. Quarterly prices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F7"/>
          </w:tcPr>
          <w:p>
            <w:pPr>
              <w:jc w:val="center"/>
            </w:pPr>
            <w:r>
              <w:t>Item</w:t>
            </w:r>
          </w:p>
        </w:tc>
        <w:tc>
          <w:tcPr>
            <w:tcW w:type="dxa" w:w="2880"/>
            <w:shd w:val="clear" w:color="auto" w:fill="D9EAF7"/>
          </w:tcPr>
          <w:p>
            <w:r>
              <w:t>Quarter</w:t>
            </w:r>
          </w:p>
        </w:tc>
        <w:tc>
          <w:tcPr>
            <w:tcW w:type="dxa" w:w="2880"/>
            <w:shd w:val="clear" w:color="auto" w:fill="D9EAF7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Paper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  <w:vMerge w:val="restart"/>
          </w:tcPr>
          <w:p>
            <w:r>
              <w:t>12.50</w:t>
            </w:r>
          </w:p>
        </w:tc>
      </w:tr>
      <w:tr>
        <w:tc>
          <w:tcPr>
            <w:tcW w:type="dxa" w:w="5760"/>
            <w:gridSpan w:val="2"/>
          </w:tcPr>
          <w:p>
            <w:pPr>
              <w:jc w:val="center"/>
            </w:pPr>
            <w:r>
              <w:t>Ink, all quarters</w:t>
            </w:r>
          </w:p>
        </w:tc>
        <w:tc>
          <w:tcPr>
            <w:tcW w:type="dxa" w:w="2880"/>
            <w:vMerge/>
          </w:tcPr>
          <w:p/>
        </w:tc>
      </w:tr>
    </w:tbl>
    <w:p>
      <w:r>
        <w:t>Figure 2 is discussed later, but this is ordinary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