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Проектен отчет</w:t>
      </w:r>
    </w:p>
    <w:p>
      <w:r>
        <w:t xml:space="preserve">A report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words, a </w:t>
      </w:r>
      <w:hyperlink r:id="rId11">
        <w:r>
          <w:t xml:space="preserve">link</w:t>
        </w:r>
      </w:hyperlink>
      <w:r>
        <w:t xml:space="preserve"> and a note</w:t>
      </w:r>
      <w:r>
        <w:footnoteReference w:id="1"/>
      </w:r>
      <w:r>
        <w:t>.</w:t>
      </w:r>
    </w:p>
    <w:p>
      <w:pPr>
        <w:pStyle w:val="Heading2"/>
      </w:pPr>
      <w:r>
        <w:t>Plan</w:t>
      </w:r>
    </w:p>
    <w:p>
      <w:pPr>
        <w:pStyle w:val="ListNumber"/>
      </w:pPr>
      <w:r>
        <w:t>Research</w:t>
      </w:r>
    </w:p>
    <w:p>
      <w:pPr>
        <w:pStyle w:val="ListNumber2"/>
      </w:pPr>
      <w:r>
        <w:t>Interviews</w:t>
      </w:r>
    </w:p>
    <w:p>
      <w:pPr>
        <w:pStyle w:val="ListNumber"/>
      </w:pPr>
      <w:r>
        <w:t>Write-up</w:t>
      </w:r>
    </w:p>
    <w:p>
      <w:pPr>
        <w:pStyle w:val="Quote"/>
      </w:pPr>
      <w:r>
        <w:t>Quality is never an accident.</w:t>
      </w:r>
    </w:p>
    <w:p>
      <w:r>
        <w:rPr>
          <w:rFonts w:ascii="Courier New" w:hAnsi="Courier New"/>
        </w:rPr>
        <w:t>total = sum(prices)</w:t>
      </w:r>
    </w:p>
    <w:p>
      <w:r>
        <w:t>Table 1. 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F7"/>
          </w:tcPr>
          <w:p>
            <w:pPr>
              <w:jc w:val="center"/>
            </w:pPr>
            <w:r>
              <w:t>Item</w:t>
            </w:r>
          </w:p>
        </w:tc>
        <w:tc>
          <w:tcPr>
            <w:tcW w:type="dxa" w:w="2880"/>
            <w:shd w:val="clear" w:color="auto" w:fill="D9EAF7"/>
          </w:tcPr>
          <w:p>
            <w:r>
              <w:t>Quarter</w:t>
            </w:r>
          </w:p>
        </w:tc>
        <w:tc>
          <w:tcPr>
            <w:tcW w:type="dxa" w:w="2880"/>
            <w:shd w:val="clear" w:color="auto" w:fill="D9EAF7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Paper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  <w:vMerge w:val="restart"/>
          </w:tcPr>
          <w:p>
            <w:r>
              <w:t>12.50</w:t>
            </w:r>
          </w:p>
        </w:tc>
      </w:tr>
      <w:tr>
        <w:tc>
          <w:tcPr>
            <w:tcW w:type="dxa" w:w="5760"/>
            <w:gridSpan w:val="2"/>
          </w:tcPr>
          <w:p>
            <w:pPr>
              <w:jc w:val="center"/>
            </w:pPr>
            <w:r>
              <w:t>Ink, all quarters</w:t>
            </w:r>
          </w:p>
        </w:tc>
        <w:tc>
          <w:tcPr>
            <w:tcW w:type="dxa" w:w="2880"/>
            <w:vMerge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18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A purple square.</w:t>
      </w:r>
    </w:p>
    <w:p>
      <w:r>
        <w:br w:type="page"/>
      </w:r>
    </w:p>
    <w:p>
      <w:pPr>
        <w:pStyle w:val="Heading2"/>
      </w:pPr>
      <w:r>
        <w:t>Резултати</w:t>
      </w:r>
    </w:p>
    <w:p>
      <w:r>
        <w:t>Всички цели са изпълнени навреме.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/>
  </w:footnote>
  <w:footnote w:id="1">
    <w:p>
      <w:r>
        <w:footnoteRef/>
      </w:r>
      <w:r>
        <w:t xml:space="preserve"> Sources are listed at the end.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SmartDoc — golden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report" TargetMode="External"/><Relationship Id="rId12" Type="http://schemas.openxmlformats.org/officeDocument/2006/relationships/footnotes" Target="footnotes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