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EF3BE" w14:textId="77777777" w:rsidR="009414CB" w:rsidRDefault="00000000">
      <w:pPr>
        <w:spacing w:after="180"/>
        <w:jc w:val="center"/>
      </w:pPr>
      <w:r>
        <w:rPr>
          <w:b/>
          <w:bCs/>
          <w:sz w:val="32"/>
          <w:szCs w:val="32"/>
        </w:rPr>
        <w:t>A Reliability-Oriented Framework for Vietnamese Legal LLM Evaluation via VLegal-Bench Augmentation</w:t>
      </w:r>
    </w:p>
    <w:p w14:paraId="02199825" w14:textId="77777777" w:rsidR="009414CB" w:rsidRDefault="00000000">
      <w:pPr>
        <w:spacing w:after="40"/>
        <w:jc w:val="center"/>
      </w:pPr>
      <w:r>
        <w:rPr>
          <w:sz w:val="22"/>
          <w:szCs w:val="22"/>
        </w:rPr>
        <w:t>[Author Name(s)]</w:t>
      </w:r>
    </w:p>
    <w:p w14:paraId="2AEE67EF" w14:textId="77777777" w:rsidR="009414CB" w:rsidRDefault="00000000">
      <w:pPr>
        <w:spacing w:after="40"/>
        <w:jc w:val="center"/>
      </w:pPr>
      <w:r>
        <w:t>[Department / Institute], [City, Country]</w:t>
      </w:r>
    </w:p>
    <w:p w14:paraId="171600EA" w14:textId="77777777" w:rsidR="009414CB" w:rsidRDefault="00000000">
      <w:pPr>
        <w:spacing w:after="200"/>
        <w:jc w:val="center"/>
      </w:pPr>
      <w:r>
        <w:rPr>
          <w:i/>
          <w:iCs/>
        </w:rPr>
        <w:t>[corresponding-email@domain.edu.vn]</w:t>
      </w:r>
    </w:p>
    <w:p w14:paraId="422DC742" w14:textId="77777777" w:rsidR="009414CB" w:rsidRDefault="00000000">
      <w:pPr>
        <w:spacing w:after="80"/>
        <w:ind w:left="720" w:right="720"/>
        <w:jc w:val="both"/>
      </w:pPr>
      <w:r>
        <w:rPr>
          <w:b/>
          <w:bCs/>
          <w:sz w:val="18"/>
          <w:szCs w:val="18"/>
        </w:rPr>
        <w:t xml:space="preserve">Abstract. </w:t>
      </w:r>
      <w:r>
        <w:rPr>
          <w:sz w:val="18"/>
          <w:szCs w:val="18"/>
        </w:rPr>
        <w:t>Large language models (LLMs) have opened significant opportunities for Legal AI, spanning question answering, document analysis, and judicial reasoning support. However, deployment in high-stakes legal environments demands more than surface-level fluency: models must be correct, citation-grounded, temporally valid, and reliably calibrated to abstain when evidence is insufficient. Existing legal benchmarks evaluate general legal reasoning effectively but lack dedicated supervision for citation faithfulness, temporal validity, and hallucination-aware reliability. VLegal-Bench, a comprehensive Vietnamese legal benchmark comprising 10,450 samples across 22 tasks and five cognitive levels, provides a solid evaluation foundation yet does not natively address these three reliability dimensions. To bridge this gap, we propose a reliability-oriented four-layer framework for Vietnamese legal LLMs that uses VLegal-Bench as its core benchmark and extends it with a structured annotation layer providing citation grounding, temporal validity metadata, and reliability supervision labels. Evaluation is conducted along six reliability metrics—citation correctness, recency-aware score, recency-aware recall, evidence support rate, unsupported-claim rate, and abstention accuracy—complementing the standard legal capability metrics of VLegal-Bench. Experimental results demonstrate that reliability-oriented adaptation guided by the augmented benchmark improves performance on both standard and reliability metrics, advancing model behaviour toward the trustworthiness requirements of real-world legal assistant deployment.</w:t>
      </w:r>
    </w:p>
    <w:p w14:paraId="7141F5EE" w14:textId="77777777" w:rsidR="009414CB" w:rsidRDefault="00000000">
      <w:pPr>
        <w:spacing w:after="240"/>
        <w:ind w:left="720" w:right="720"/>
        <w:jc w:val="both"/>
      </w:pPr>
      <w:r>
        <w:rPr>
          <w:b/>
          <w:bCs/>
          <w:sz w:val="18"/>
          <w:szCs w:val="18"/>
        </w:rPr>
        <w:t xml:space="preserve">Keywords: </w:t>
      </w:r>
      <w:r>
        <w:rPr>
          <w:sz w:val="18"/>
          <w:szCs w:val="18"/>
        </w:rPr>
        <w:t>Vietnamese legal NLP · Large language models · Legal reasoning · Hallucination mitigation · Benchmark evaluation · Temporal validity.</w:t>
      </w:r>
    </w:p>
    <w:p w14:paraId="0A84AC31" w14:textId="77777777" w:rsidR="009414CB" w:rsidRDefault="00000000">
      <w:pPr>
        <w:pStyle w:val="Heading1"/>
      </w:pPr>
      <w:r>
        <w:t>1   Introduction</w:t>
      </w:r>
    </w:p>
    <w:p w14:paraId="1ECE89AD" w14:textId="77777777" w:rsidR="009414CB" w:rsidRDefault="00000000">
      <w:pPr>
        <w:spacing w:before="60" w:after="60"/>
        <w:ind w:firstLine="720"/>
        <w:jc w:val="both"/>
      </w:pPr>
      <w:r>
        <w:rPr>
          <w:color w:val="000000"/>
        </w:rPr>
        <w:t>The rapid advancement of large language models (LLMs) has created new possibilities across specialised domains, with legal artificial intelligence emerging as one of the most promising yet technically demanding application areas [1]. In the legal domain, models are expected to perform tasks ranging from legal entity recognition and article retrieval to judicial reasoning generation and contract fairness assessment. The requirements for legal AI systems extend far beyond fluent text generation: a model deployed in a legal setting must deliver accurate, evidence-grounded answers that are temporally valid with respect to the applicable law, and must recognise when available evidence is insufficient to support a confident response [1, 4].</w:t>
      </w:r>
    </w:p>
    <w:p w14:paraId="74847C53" w14:textId="77777777" w:rsidR="009414CB" w:rsidRDefault="00000000">
      <w:pPr>
        <w:spacing w:before="60" w:after="60"/>
        <w:ind w:firstLine="720"/>
        <w:jc w:val="both"/>
      </w:pPr>
      <w:r>
        <w:rPr>
          <w:color w:val="000000"/>
        </w:rPr>
        <w:t>A persistent gap exists between benchmark-level performance and the trustworthiness criteria demanded by real-world legal deployment. Most existing legal benchmarks evaluate correctness and legal reasoning capability, yet do not systematically measure whether a model cites the correct source provision, selects the regulation that was in force at the time of the query, or appropriately abstains when supporting evidence is absent [13, 14]. This gap is particularly consequential in jurisdictions with complex, frequently amended legal codes, such as Vietnam, where the effective date and amendment history of a regulation directly determines the legality of an action.</w:t>
      </w:r>
    </w:p>
    <w:p w14:paraId="19A26B20" w14:textId="77777777" w:rsidR="009414CB" w:rsidRDefault="00000000">
      <w:pPr>
        <w:spacing w:before="60" w:after="60"/>
        <w:ind w:firstLine="720"/>
        <w:jc w:val="both"/>
      </w:pPr>
      <w:r>
        <w:rPr>
          <w:color w:val="000000"/>
        </w:rPr>
        <w:t>VLegal-Bench [2] is the most comprehensive benchmark for Vietnamese legal reasoning to date, comprising 10,450 samples across 22 tasks, five cognitive levels following Bloom's taxonomy, and four question types: multiple-choice (MLC), binary-choice (BC), extraction, and generation. Its coverage spans legal entity recognition, topic classification, article recall, relation extraction, judgment verification, article and clause prediction, judicial reasoning generation, ethics, and unfair contract detection—all constructed and verified by legal experts. Nevertheless, VLegal-Bench does not provide specialised supervision for citation faithfulness, temporal validity, or hallucination-aware reliability, meaning that benchmark accuracy alone cannot demonstrate that a model meets the trustworthiness requirements of legal AI.</w:t>
      </w:r>
    </w:p>
    <w:p w14:paraId="06F45E8E" w14:textId="77777777" w:rsidR="009414CB" w:rsidRDefault="00000000">
      <w:pPr>
        <w:spacing w:before="60" w:after="60"/>
        <w:ind w:firstLine="720"/>
        <w:jc w:val="both"/>
      </w:pPr>
      <w:r>
        <w:rPr>
          <w:color w:val="000000"/>
        </w:rPr>
        <w:t xml:space="preserve">To address this limitation, we propose a </w:t>
      </w:r>
      <w:r>
        <w:rPr>
          <w:b/>
          <w:bCs/>
          <w:color w:val="000000"/>
        </w:rPr>
        <w:t>reliability-oriented framework</w:t>
      </w:r>
      <w:r>
        <w:rPr>
          <w:color w:val="000000"/>
        </w:rPr>
        <w:t xml:space="preserve"> for Vietnamese legal LLMs that treats VLegal-Bench as its core benchmark and augments it with a dedicated annotation layer. Our framework is structured around four layers: (i) an open foundation model layer providing a reproducible, cost-efficient backbone; (ii) a domain adaptation layer that specialises the model for Vietnamese legal tasks via instruction tuning or parameter-efficient fine-tuning; (iii) a reliability annotation layer that extends a targeted subset of VLegal-Bench with citation grounding metadata, temporal validity labels, and reliability supervision signals; and (iv) a benchmark-driven evaluation layer measuring legal capability across all task types while simultaneously assessing six reliability metrics.</w:t>
      </w:r>
    </w:p>
    <w:p w14:paraId="67DC1C57" w14:textId="77777777" w:rsidR="009414CB" w:rsidRDefault="00000000">
      <w:pPr>
        <w:spacing w:before="60" w:after="60"/>
        <w:ind w:firstLine="720"/>
        <w:jc w:val="both"/>
      </w:pPr>
      <w:r>
        <w:rPr>
          <w:color w:val="000000"/>
        </w:rPr>
        <w:t>The principal contributions of this work are as follows:</w:t>
      </w:r>
    </w:p>
    <w:p w14:paraId="02381CA3" w14:textId="77777777" w:rsidR="009414CB" w:rsidRDefault="00000000">
      <w:pPr>
        <w:pStyle w:val="ListParagraph"/>
        <w:numPr>
          <w:ilvl w:val="0"/>
          <w:numId w:val="2"/>
        </w:numPr>
        <w:spacing w:before="40" w:after="40"/>
      </w:pPr>
      <w:r>
        <w:lastRenderedPageBreak/>
        <w:t>We propose a four-layer reliability-oriented framework for Vietnamese legal LLMs, providing a systematic pipeline from open-model adaptation to multi-dimensional evaluation.</w:t>
      </w:r>
    </w:p>
    <w:p w14:paraId="3DAF4353" w14:textId="77777777" w:rsidR="009414CB" w:rsidRDefault="00000000">
      <w:pPr>
        <w:pStyle w:val="ListParagraph"/>
        <w:numPr>
          <w:ilvl w:val="0"/>
          <w:numId w:val="2"/>
        </w:numPr>
        <w:spacing w:before="40" w:after="40"/>
      </w:pPr>
      <w:r>
        <w:t>We design and construct a reliability annotation layer extending VLegal-Bench with citation grounding, temporal validity, and reliability supervision labels—the first such structured augmentation for a Vietnamese legal benchmark.</w:t>
      </w:r>
    </w:p>
    <w:p w14:paraId="07B6A425" w14:textId="77777777" w:rsidR="009414CB" w:rsidRDefault="00000000">
      <w:pPr>
        <w:pStyle w:val="ListParagraph"/>
        <w:numPr>
          <w:ilvl w:val="0"/>
          <w:numId w:val="2"/>
        </w:numPr>
        <w:spacing w:before="40" w:after="40"/>
      </w:pPr>
      <w:r>
        <w:t>We define a set of six reliability metrics—citation correctness (CitAcc), recency-aware score (RAS), recency-aware recall (RAR), evidence support rate (ESR), unsupported-claim rate (UCR), and abstention accuracy (AbsAcc)—and demonstrate their necessity for comprehensive legal LLM evaluation beyond standard accuracy measures.</w:t>
      </w:r>
    </w:p>
    <w:p w14:paraId="04C3D385" w14:textId="77777777" w:rsidR="009414CB" w:rsidRDefault="00000000">
      <w:pPr>
        <w:pStyle w:val="ListParagraph"/>
        <w:numPr>
          <w:ilvl w:val="0"/>
          <w:numId w:val="2"/>
        </w:numPr>
        <w:spacing w:before="40" w:after="40"/>
      </w:pPr>
      <w:r>
        <w:t>We provide empirical evidence that reliability-oriented adaptation, guided by the augmented benchmark and error feedback loop, improves both standard legal capability metrics and all six reliability metrics compared to non-augmented baselines.</w:t>
      </w:r>
    </w:p>
    <w:p w14:paraId="67965202" w14:textId="77777777" w:rsidR="009414CB" w:rsidRDefault="00000000">
      <w:pPr>
        <w:spacing w:before="60" w:after="60"/>
        <w:ind w:firstLine="720"/>
        <w:jc w:val="both"/>
      </w:pPr>
      <w:r>
        <w:rPr>
          <w:color w:val="000000"/>
        </w:rPr>
        <w:t>The remainder of this paper is organised as follows. Section 2 reviews related work across four dimensions. Section 3 describes the proposed framework in detail. Section 4 presents the experimental setup. Section 5 reports and analyses results. Section 6 discusses implications and limitations. Section 7 concludes.</w:t>
      </w:r>
    </w:p>
    <w:p w14:paraId="0CD4F584" w14:textId="77777777" w:rsidR="009414CB" w:rsidRDefault="00000000">
      <w:pPr>
        <w:pStyle w:val="Heading1"/>
      </w:pPr>
      <w:r>
        <w:t>2   Related Work</w:t>
      </w:r>
    </w:p>
    <w:p w14:paraId="60DB73CF" w14:textId="77777777" w:rsidR="009414CB" w:rsidRDefault="00000000">
      <w:pPr>
        <w:pStyle w:val="Heading2"/>
      </w:pPr>
      <w:r>
        <w:t>2.1   LLM Foundations</w:t>
      </w:r>
    </w:p>
    <w:p w14:paraId="5DF6C881" w14:textId="77777777" w:rsidR="009414CB" w:rsidRDefault="00000000">
      <w:pPr>
        <w:spacing w:before="60" w:after="60"/>
        <w:ind w:firstLine="720"/>
        <w:jc w:val="both"/>
      </w:pPr>
      <w:r>
        <w:rPr>
          <w:color w:val="000000"/>
        </w:rPr>
        <w:t>The development of large language models has progressed from early autoregressive pre-training to instruction-following models capable of zero-shot and few-shot generalisation across diverse tasks [3, 6]. Key milestones include the demonstration of emergent capabilities at scale [6], instruction tuning that aligns model behaviour with human directives [7], and parameter-efficient adaptation methods such as LoRA [8] that substantially reduce the computational cost of domain specialisation without degrading general language capabilities. These techniques are directly relevant to legal AI: they provide a foundation for adapting general-purpose models to the specialised vocabulary, reasoning patterns, and output formats required in legal contexts within practical resource constraints.</w:t>
      </w:r>
    </w:p>
    <w:p w14:paraId="5F76E3D0" w14:textId="77777777" w:rsidR="009414CB" w:rsidRDefault="00000000">
      <w:pPr>
        <w:spacing w:before="60" w:after="60"/>
        <w:ind w:firstLine="720"/>
        <w:jc w:val="both"/>
      </w:pPr>
      <w:r>
        <w:rPr>
          <w:color w:val="000000"/>
        </w:rPr>
        <w:t>Prompting strategies have also proved influential. Chain-of-thought prompting [9] has been shown to elicit multi-step reasoning, reduce logical errors, and improve answer quality across knowledge-intensive domains. For legal tasks, structured prompting that makes explicit reference to legal provisions and step-by-step reasoning has emerged as a practical complement to fine-tuning, particularly when labelled legal data is limited.</w:t>
      </w:r>
    </w:p>
    <w:p w14:paraId="6F0E926E" w14:textId="77777777" w:rsidR="009414CB" w:rsidRDefault="00000000">
      <w:pPr>
        <w:pStyle w:val="Heading2"/>
      </w:pPr>
      <w:r>
        <w:t>2.2   Legal AI Applications</w:t>
      </w:r>
    </w:p>
    <w:p w14:paraId="1D146712" w14:textId="77777777" w:rsidR="009414CB" w:rsidRDefault="00000000">
      <w:pPr>
        <w:spacing w:before="60" w:after="60"/>
        <w:ind w:firstLine="720"/>
        <w:jc w:val="both"/>
      </w:pPr>
      <w:r>
        <w:rPr>
          <w:color w:val="000000"/>
        </w:rPr>
        <w:t>LLMs have been applied to a broad spectrum of legal tasks, including legal research, statutory drafting, compliance checking, contract review, judgment prediction, and legal education [4, 5]. Surveys of legal AI systems consistently highlight a set of risks associated with LLM deployment in high-stakes legal environments: hallucination—the generation of plausible but factually unsupported content—ranks among the most critical concerns, alongside bias, limited interpretability, and accountability challenges when models are integrated into decision-making pipelines [1, 4].</w:t>
      </w:r>
    </w:p>
    <w:p w14:paraId="32C2E09A" w14:textId="77777777" w:rsidR="009414CB" w:rsidRDefault="00000000">
      <w:pPr>
        <w:spacing w:before="60" w:after="60"/>
        <w:ind w:firstLine="720"/>
        <w:jc w:val="both"/>
      </w:pPr>
      <w:r>
        <w:rPr>
          <w:color w:val="000000"/>
        </w:rPr>
        <w:t>The legal LLM research landscape has matured considerably: a recent survey catalogues 16 legal LLM series, 47 frameworks, 15 benchmarks, and 29 datasets [5], confirming this as a structured research area with established methodologies. However, the majority of existing work addresses English-language common-law systems, with limited coverage of civil-law jurisdictions and non-English languages. Vietnamese legal AI represents a substantially underserved area where the combination of a Sino-Vietnamese legal tradition, a rapidly evolving statutory corpus with frequent amendments, and low-resource NLP conditions creates distinct challenges not addressed by existing frameworks.</w:t>
      </w:r>
    </w:p>
    <w:p w14:paraId="792F3D39" w14:textId="77777777" w:rsidR="009414CB" w:rsidRDefault="00000000">
      <w:pPr>
        <w:pStyle w:val="Heading2"/>
      </w:pPr>
      <w:r>
        <w:t>2.3   Legal Knowledge Infusion</w:t>
      </w:r>
    </w:p>
    <w:p w14:paraId="244CA646" w14:textId="77777777" w:rsidR="009414CB" w:rsidRDefault="00000000">
      <w:pPr>
        <w:spacing w:before="60" w:after="60"/>
        <w:ind w:firstLine="720"/>
        <w:jc w:val="both"/>
      </w:pPr>
      <w:r>
        <w:rPr>
          <w:color w:val="000000"/>
        </w:rPr>
        <w:t>Effective legal AI systems typically require more than a general-purpose LLM backbone; they benefit from domain-specific knowledge infusion through retrieval augmentation [10], fine-tuning on legal corpora, structured knowledge injection, or hybrid pipelines [5]. Retrieval-augmented generation (RAG) is particularly relevant in legal contexts because it allows models to ground responses in specific statutory provisions, reducing the likelihood of unsupported claims. However, citation faithfulness—the degree to which a model's cited provisions genuinely support its stated conclusions—remains an under-evaluated dimension, since standard generation metrics cannot capture whether a cited article is correctly identified or remains in force.</w:t>
      </w:r>
    </w:p>
    <w:p w14:paraId="2B939AEE" w14:textId="77777777" w:rsidR="009414CB" w:rsidRDefault="00000000">
      <w:pPr>
        <w:spacing w:before="60" w:after="60"/>
        <w:ind w:firstLine="720"/>
        <w:jc w:val="both"/>
      </w:pPr>
      <w:r>
        <w:rPr>
          <w:color w:val="000000"/>
        </w:rPr>
        <w:t xml:space="preserve">Temporal validity is a further dimension of legal knowledge that has received limited attention in the LLM literature. Legal statutes are subject to amendment, replacement, and expiry, and a model that selects a provision without verifying its effective date may produce legally incorrect advice even when the provision once </w:t>
      </w:r>
      <w:r>
        <w:rPr>
          <w:color w:val="000000"/>
        </w:rPr>
        <w:lastRenderedPageBreak/>
        <w:t>existed. This temporal reasoning requirement distinguishes legal AI from most other knowledge-intensive NLP domains and motivates the temporal validity annotation component of our framework.</w:t>
      </w:r>
    </w:p>
    <w:p w14:paraId="58AB6B96" w14:textId="77777777" w:rsidR="009414CB" w:rsidRDefault="00000000">
      <w:pPr>
        <w:pStyle w:val="Heading2"/>
      </w:pPr>
      <w:r>
        <w:t>2.4   Evaluation Frameworks for Legal LLMs</w:t>
      </w:r>
    </w:p>
    <w:p w14:paraId="434B2C23" w14:textId="77777777" w:rsidR="009414CB" w:rsidRDefault="00000000">
      <w:pPr>
        <w:spacing w:before="60" w:after="60"/>
        <w:ind w:firstLine="720"/>
        <w:jc w:val="both"/>
      </w:pPr>
      <w:r>
        <w:rPr>
          <w:color w:val="000000"/>
        </w:rPr>
        <w:t>Several dedicated benchmarks for legal LLMs have been proposed, including LawBench [13] for Chinese and LEGEL [14] for English legal tasks. These benchmarks assess correctness and legal reasoning across structured task types but do not provide explicit supervision for citation grounding, temporal validity, or abstention behaviour. The three-dimensional evaluation framework proposed in recent survey work—measuring correctness, legal reasoning quality, and trustworthiness—represents the most comprehensive conceptualisation of legal LLM evaluation to date [1], yet operationalising this framework requires specialised annotation that existing benchmarks do not supply.</w:t>
      </w:r>
    </w:p>
    <w:p w14:paraId="35E921F8" w14:textId="77777777" w:rsidR="009414CB" w:rsidRDefault="00000000">
      <w:pPr>
        <w:spacing w:before="60" w:after="60"/>
        <w:ind w:firstLine="720"/>
        <w:jc w:val="both"/>
      </w:pPr>
      <w:r>
        <w:rPr>
          <w:color w:val="000000"/>
        </w:rPr>
        <w:t>LLM-as-a-judge methodologies [15] and fine-grained factual evaluation approaches such as FActScore [11] have advanced output quality assessment beyond token-level metrics, though their application to citation faithfulness and temporal reasoning in legal contexts remains limited. Hallucination mitigation research [12] provides relevant techniques—self-consistency checking, retrieval grounding, and abstention calibration—that can be incorporated into legal LLM pipelines.</w:t>
      </w:r>
    </w:p>
    <w:p w14:paraId="4BC8E61C" w14:textId="77777777" w:rsidR="009414CB" w:rsidRDefault="00000000">
      <w:pPr>
        <w:spacing w:before="60" w:after="60"/>
        <w:ind w:firstLine="720"/>
        <w:jc w:val="both"/>
      </w:pPr>
      <w:r>
        <w:rPr>
          <w:color w:val="000000"/>
        </w:rPr>
        <w:t>Three lines of recent work are directly relevant to the reliability dimensions addressed by our framework. For abstention evaluation, Abstain-QA [16] provides a standardised methodology for assessing whether LLMs correctly withhold answers when evidence is insufficient, directly motivating our should-abstain annotation and AbsAcc metric. For temporal legal reasoning, LexTIME [17] introduces a benchmark for temporal ordering of Vietnamese legal provisions, demonstrating that current LLMs struggle to correctly sequence amendments and identify which provision version was in force at a given date. For recency-aware metric design, recent work on temporal question answering evaluation [18] proposes the Recency-Aware Score (RAS) and Recency-Aware Recall (RAR), which apply exponential decay weighting to penalise citations temporally distant from the query date—a more nuanced operationalisation than binary temporal correctness. Together, these three contributions directly inform the reliability evaluation layer of our framework.</w:t>
      </w:r>
    </w:p>
    <w:p w14:paraId="753090CB" w14:textId="77777777" w:rsidR="009414CB" w:rsidRDefault="00000000">
      <w:pPr>
        <w:pStyle w:val="Heading1"/>
      </w:pPr>
      <w:r>
        <w:t>3   Proposed Framework</w:t>
      </w:r>
    </w:p>
    <w:p w14:paraId="632FA6AB" w14:textId="77777777" w:rsidR="009414CB" w:rsidRDefault="00000000">
      <w:pPr>
        <w:spacing w:before="60" w:after="60"/>
        <w:ind w:firstLine="720"/>
        <w:jc w:val="both"/>
        <w:rPr>
          <w:color w:val="000000"/>
        </w:rPr>
      </w:pPr>
      <w:r>
        <w:rPr>
          <w:color w:val="000000"/>
        </w:rPr>
        <w:t>Our framework addresses three reliability dimensions—citation faithfulness, temporal validity, and hallucination-aware reliability—absent from standard legal benchmark evaluation. It is structured as four interdependent layers illustrated in Fig. 1. The pipeline is driven by observed errors on both the core benchmark and the reliability annotation layer, creating a closed-loop adaptation and evaluation cycle.</w:t>
      </w:r>
    </w:p>
    <w:p w14:paraId="1E694C0C" w14:textId="69782260" w:rsidR="00FF4A6C" w:rsidRDefault="00FF4A6C">
      <w:pPr>
        <w:spacing w:before="60" w:after="60"/>
        <w:ind w:firstLine="720"/>
        <w:jc w:val="both"/>
      </w:pPr>
      <w:r>
        <w:rPr>
          <w:noProof/>
        </w:rPr>
        <w:drawing>
          <wp:inline distT="0" distB="0" distL="0" distR="0" wp14:anchorId="40CBB057" wp14:editId="256DB34C">
            <wp:extent cx="5759450" cy="3216275"/>
            <wp:effectExtent l="0" t="0" r="0" b="3175"/>
            <wp:docPr id="12667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0770" name="Picture 126670770"/>
                    <pic:cNvPicPr/>
                  </pic:nvPicPr>
                  <pic:blipFill>
                    <a:blip r:embed="rId5">
                      <a:extLst>
                        <a:ext uri="{28A0092B-C50C-407E-A947-70E740481C1C}">
                          <a14:useLocalDpi xmlns:a14="http://schemas.microsoft.com/office/drawing/2010/main" val="0"/>
                        </a:ext>
                      </a:extLst>
                    </a:blip>
                    <a:stretch>
                      <a:fillRect/>
                    </a:stretch>
                  </pic:blipFill>
                  <pic:spPr>
                    <a:xfrm>
                      <a:off x="0" y="0"/>
                      <a:ext cx="5759450" cy="3216275"/>
                    </a:xfrm>
                    <a:prstGeom prst="rect">
                      <a:avLst/>
                    </a:prstGeom>
                  </pic:spPr>
                </pic:pic>
              </a:graphicData>
            </a:graphic>
          </wp:inline>
        </w:drawing>
      </w:r>
    </w:p>
    <w:p w14:paraId="23D82FA7" w14:textId="77777777" w:rsidR="009414CB" w:rsidRDefault="00000000">
      <w:pPr>
        <w:spacing w:before="40" w:after="160"/>
        <w:jc w:val="center"/>
      </w:pPr>
      <w:r>
        <w:rPr>
          <w:i/>
          <w:iCs/>
          <w:sz w:val="18"/>
          <w:szCs w:val="18"/>
        </w:rPr>
        <w:t>Fig. 1. Overview of the proposed four-layer reliability-oriented framework for Vietnamese legal LLMs. The error feedback loop (dashed red) from Layer 4 back to Layer 2 drives iterative adaptation guided by observed reliability failures.</w:t>
      </w:r>
    </w:p>
    <w:p w14:paraId="37A8E87E" w14:textId="77777777" w:rsidR="009414CB" w:rsidRDefault="009414CB">
      <w:pPr>
        <w:spacing w:before="40" w:after="40"/>
      </w:pPr>
    </w:p>
    <w:p w14:paraId="65EC06E8" w14:textId="77777777" w:rsidR="009414CB" w:rsidRDefault="00000000">
      <w:pPr>
        <w:pStyle w:val="Heading2"/>
      </w:pPr>
      <w:r>
        <w:lastRenderedPageBreak/>
        <w:t>3.1   Layer 1: Open Foundation Model</w:t>
      </w:r>
    </w:p>
    <w:p w14:paraId="2AD1EA05" w14:textId="77777777" w:rsidR="009414CB" w:rsidRDefault="00000000">
      <w:pPr>
        <w:spacing w:before="60" w:after="60"/>
        <w:ind w:firstLine="720"/>
        <w:jc w:val="both"/>
      </w:pPr>
      <w:r>
        <w:rPr>
          <w:color w:val="000000"/>
        </w:rPr>
        <w:t>The first layer selects an open-source LLM as the backbone. Open models are essential for reproducibility, fine-tuning flexibility, and cost-efficient deployment in academic and public-sector legal AI contexts where access to proprietary APIs may be limited. Candidate models include the Gemma, Qwen, LLaMA, and Mistral families, each offering different trade-offs among parameter count, multilingual pre-training coverage, and inference cost. Model selection criteria include Vietnamese language coverage in pre-training data, context window length sufficient for multi-article legal documents (minimum 8,192 tokens), and compatibility with the parameter-efficient adaptation methods used in Layer 2.</w:t>
      </w:r>
    </w:p>
    <w:p w14:paraId="520B7F55" w14:textId="77777777" w:rsidR="009414CB" w:rsidRDefault="00000000">
      <w:pPr>
        <w:pStyle w:val="Heading2"/>
      </w:pPr>
      <w:r>
        <w:t>3.2   Layer 2: Domain Adaptation</w:t>
      </w:r>
    </w:p>
    <w:p w14:paraId="1E20BE97" w14:textId="77777777" w:rsidR="009414CB" w:rsidRDefault="00000000">
      <w:pPr>
        <w:spacing w:before="60" w:after="60"/>
        <w:ind w:firstLine="720"/>
        <w:jc w:val="both"/>
      </w:pPr>
      <w:r>
        <w:rPr>
          <w:color w:val="000000"/>
        </w:rPr>
        <w:t>The second layer adapts the selected backbone to the Vietnamese legal domain through one or more of the following strategies:</w:t>
      </w:r>
    </w:p>
    <w:p w14:paraId="693C711B" w14:textId="77777777" w:rsidR="009414CB" w:rsidRDefault="00000000">
      <w:pPr>
        <w:pStyle w:val="ListParagraph"/>
        <w:numPr>
          <w:ilvl w:val="0"/>
          <w:numId w:val="2"/>
        </w:numPr>
        <w:spacing w:before="40" w:after="40"/>
      </w:pPr>
      <w:r>
        <w:rPr>
          <w:b/>
          <w:bCs/>
        </w:rPr>
        <w:t>Instruction tuning:</w:t>
      </w:r>
      <w:r>
        <w:t xml:space="preserve"> supervised fine-tuning on instruction-formatted legal tasks drawn from Vietnamese legal corpora, covering statutory Q&amp;A, article retrieval, judgment prediction, and contract analysis.</w:t>
      </w:r>
    </w:p>
    <w:p w14:paraId="4ECC193C" w14:textId="77777777" w:rsidR="009414CB" w:rsidRDefault="00000000">
      <w:pPr>
        <w:pStyle w:val="ListParagraph"/>
        <w:numPr>
          <w:ilvl w:val="0"/>
          <w:numId w:val="2"/>
        </w:numPr>
        <w:spacing w:before="40" w:after="40"/>
      </w:pPr>
      <w:r>
        <w:rPr>
          <w:b/>
          <w:bCs/>
        </w:rPr>
        <w:t>Parameter-efficient fine-tuning (PEFT):</w:t>
      </w:r>
      <w:r>
        <w:t xml:space="preserve"> low-rank adaptation (LoRA) [8] or similar methods that reduce training cost while preserving general language capabilities, making adaptation feasible on single-GPU hardware.</w:t>
      </w:r>
    </w:p>
    <w:p w14:paraId="06F0F961" w14:textId="77777777" w:rsidR="009414CB" w:rsidRDefault="00000000">
      <w:pPr>
        <w:pStyle w:val="ListParagraph"/>
        <w:numPr>
          <w:ilvl w:val="0"/>
          <w:numId w:val="2"/>
        </w:numPr>
        <w:spacing w:before="40" w:after="40"/>
      </w:pPr>
      <w:r>
        <w:rPr>
          <w:b/>
          <w:bCs/>
        </w:rPr>
        <w:t>Legal and task-aware prompting:</w:t>
      </w:r>
      <w:r>
        <w:t xml:space="preserve"> structured prompts specifying the applicable legal domain, required citation format, and output structure, reducing format errors and improving citation grounding without weight updates.</w:t>
      </w:r>
    </w:p>
    <w:p w14:paraId="659BA4E6" w14:textId="77777777" w:rsidR="009414CB" w:rsidRDefault="00000000">
      <w:pPr>
        <w:pStyle w:val="ListParagraph"/>
        <w:numPr>
          <w:ilvl w:val="0"/>
          <w:numId w:val="2"/>
        </w:numPr>
        <w:spacing w:before="40" w:after="40"/>
      </w:pPr>
      <w:r>
        <w:rPr>
          <w:b/>
          <w:bCs/>
        </w:rPr>
        <w:t>Output constraint decoding:</w:t>
      </w:r>
      <w:r>
        <w:t xml:space="preserve"> constrained generation strategies enforcing structural requirements such as article citation format, effective-date qualification, and explicit abstention triggers when confidence is low.</w:t>
      </w:r>
    </w:p>
    <w:p w14:paraId="1F120145" w14:textId="77777777" w:rsidR="009414CB" w:rsidRDefault="00000000">
      <w:pPr>
        <w:spacing w:before="60" w:after="60"/>
        <w:ind w:firstLine="720"/>
        <w:jc w:val="both"/>
      </w:pPr>
      <w:r>
        <w:rPr>
          <w:color w:val="000000"/>
        </w:rPr>
        <w:t>Adaptation strategy selection is guided by error analysis on the core benchmark in Layer 4. This benchmark-driven adaptation pipeline—where evaluation failures directly inform the next adaptation iteration—distinguishes our framework from approaches that fine-tune to a fixed training objective without iterative error diagnosis.</w:t>
      </w:r>
    </w:p>
    <w:p w14:paraId="10C77542" w14:textId="77777777" w:rsidR="009414CB" w:rsidRDefault="00000000">
      <w:pPr>
        <w:pStyle w:val="Heading2"/>
      </w:pPr>
      <w:r>
        <w:t>3.3   Layer 3: Reliability Annotation Layer</w:t>
      </w:r>
    </w:p>
    <w:p w14:paraId="4EEA1980" w14:textId="77777777" w:rsidR="009414CB" w:rsidRDefault="00000000">
      <w:pPr>
        <w:spacing w:before="60" w:after="60"/>
        <w:ind w:firstLine="720"/>
        <w:jc w:val="both"/>
      </w:pPr>
      <w:r>
        <w:rPr>
          <w:color w:val="000000"/>
        </w:rPr>
        <w:t>The third layer is the primary methodological contribution of this work. It extends a targeted subset of VLegal-Bench with three categories of structured reliability annotation:</w:t>
      </w:r>
    </w:p>
    <w:p w14:paraId="05E12A01" w14:textId="77777777" w:rsidR="009414CB" w:rsidRDefault="00000000">
      <w:pPr>
        <w:spacing w:before="160" w:after="60"/>
      </w:pPr>
      <w:r>
        <w:rPr>
          <w:b/>
          <w:bCs/>
          <w:i/>
          <w:iCs/>
        </w:rPr>
        <w:t>3.3.1   Citation Grounding Annotation</w:t>
      </w:r>
    </w:p>
    <w:p w14:paraId="2A152E6C" w14:textId="77777777" w:rsidR="009414CB" w:rsidRDefault="00000000">
      <w:pPr>
        <w:spacing w:before="60" w:after="60"/>
        <w:ind w:firstLine="720"/>
        <w:jc w:val="both"/>
      </w:pPr>
      <w:r>
        <w:rPr>
          <w:color w:val="000000"/>
        </w:rPr>
        <w:t>For each sample in the selected subset, annotators identify the authoritative source provisions supporting the correct answer. Annotations record: (i) the name of the source legal document, (ii) the article number, (iii) the clause and sub-clause identifier where applicable, and (iv) the specific evidentiary passage within the cited provision. This annotation enables citation correctness evaluation at multiple granularities—document, article, and clause level—and provides supervision signals for training models to produce citation-grounded responses.</w:t>
      </w:r>
    </w:p>
    <w:p w14:paraId="09A2B8B5" w14:textId="77777777" w:rsidR="009414CB" w:rsidRDefault="00000000">
      <w:pPr>
        <w:spacing w:before="160" w:after="60"/>
      </w:pPr>
      <w:r>
        <w:rPr>
          <w:b/>
          <w:bCs/>
          <w:i/>
          <w:iCs/>
        </w:rPr>
        <w:t>3.3.2   Temporal Validity Annotation</w:t>
      </w:r>
    </w:p>
    <w:p w14:paraId="4294B891" w14:textId="77777777" w:rsidR="009414CB" w:rsidRDefault="00000000">
      <w:pPr>
        <w:spacing w:before="60" w:after="60"/>
        <w:ind w:firstLine="720"/>
        <w:jc w:val="both"/>
      </w:pPr>
      <w:r>
        <w:rPr>
          <w:color w:val="000000"/>
        </w:rPr>
        <w:t>Legal provisions are subject to amendment, replacement, and expiration. For each cited provision in the annotated subset, temporal annotations record: (i) the promulgation date, (ii) the effective date, (iii) the expiration date if applicable, (iv) relationships to amending or superseding documents, and (v) a binary validity status label at a specified reference date. The reference date is embedded in the query context, enabling evaluation of whether the model selects the provision legally in force at the time of the query, rather than a superseded or not-yet-effective version. This annotation directly supports the RAS and RAR metrics described in Section 4.3.2.</w:t>
      </w:r>
    </w:p>
    <w:p w14:paraId="5E797115" w14:textId="77777777" w:rsidR="009414CB" w:rsidRDefault="00000000">
      <w:pPr>
        <w:spacing w:before="160" w:after="60"/>
      </w:pPr>
      <w:r>
        <w:rPr>
          <w:b/>
          <w:bCs/>
          <w:i/>
          <w:iCs/>
        </w:rPr>
        <w:t>3.3.3   Reliability Supervision Annotation</w:t>
      </w:r>
    </w:p>
    <w:p w14:paraId="73F42DBC" w14:textId="77777777" w:rsidR="009414CB" w:rsidRDefault="00000000">
      <w:pPr>
        <w:spacing w:before="60" w:after="60"/>
        <w:ind w:firstLine="720"/>
        <w:jc w:val="both"/>
      </w:pPr>
      <w:r>
        <w:rPr>
          <w:color w:val="000000"/>
        </w:rPr>
        <w:t>Beyond citation and temporal validity, the reliability annotation layer includes labels characterising the trustworthiness of model-generated answers: (i) evidence sufficiency—whether cited provisions are sufficient to support the stated conclusion; (ii) unsupported-claim detection—whether the answer contains assertions not supported by annotated evidence; (iii) hallucination type classification—distinguishing factual fabrication, citation hallucination, and temporal confusion; and (iv) should-abstain labels—indicating samples for which available legal sources are insufficient to support a confident response and the model should express uncertainty or decline to answer, following the abstention evaluation methodology of Abstain-QA [16].</w:t>
      </w:r>
    </w:p>
    <w:p w14:paraId="798B6FD7" w14:textId="77777777" w:rsidR="009414CB" w:rsidRDefault="00000000">
      <w:pPr>
        <w:spacing w:before="60" w:after="60"/>
        <w:ind w:firstLine="720"/>
        <w:jc w:val="both"/>
      </w:pPr>
      <w:r>
        <w:rPr>
          <w:color w:val="000000"/>
        </w:rPr>
        <w:t>Annotation is performed by advanced law students under the supervision of licensed legal practitioners with expertise in Vietnamese civil, criminal, and administrative law. The annotation protocol is detailed in Section 4.1.</w:t>
      </w:r>
    </w:p>
    <w:p w14:paraId="754E96B2" w14:textId="77777777" w:rsidR="009414CB" w:rsidRDefault="00000000">
      <w:pPr>
        <w:pStyle w:val="Heading2"/>
      </w:pPr>
      <w:r>
        <w:lastRenderedPageBreak/>
        <w:t>3.4   Layer 4: Benchmark-Driven Evaluation</w:t>
      </w:r>
    </w:p>
    <w:p w14:paraId="62F813C9" w14:textId="77777777" w:rsidR="009414CB" w:rsidRDefault="00000000">
      <w:pPr>
        <w:spacing w:before="60" w:after="60"/>
        <w:ind w:firstLine="720"/>
        <w:jc w:val="both"/>
      </w:pPr>
      <w:r>
        <w:rPr>
          <w:color w:val="000000"/>
        </w:rPr>
        <w:t>The fourth layer integrates core benchmark evaluation and reliability evaluation into a unified assessment pipeline. VLegal-Bench provides multi-level measurement of legal capability across all 22 tasks and five cognitive levels. The reliability annotation subset supplements this with the six specialised reliability metrics. Together, these two evaluation components provide a three-dimensional view of model performance—correctness, legal reasoning quality, and trustworthiness—aligned with the evaluation framework advocated in recent legal LLM survey work [1].</w:t>
      </w:r>
    </w:p>
    <w:p w14:paraId="621C003A" w14:textId="77777777" w:rsidR="009414CB" w:rsidRDefault="00000000">
      <w:pPr>
        <w:spacing w:before="60" w:after="60"/>
        <w:ind w:firstLine="720"/>
        <w:jc w:val="both"/>
      </w:pPr>
      <w:r>
        <w:rPr>
          <w:color w:val="000000"/>
        </w:rPr>
        <w:t>Evaluation results drive Layer 2 adaptation through an explicit feedback mechanism: failure patterns on specific task groups, citation error types, temporal confusion cases, or abstention failures directly inform targeted modification of training data composition, prompting strategy, or fine-tuning objective. This closed-loop design is the operational core of the framework's reliability-oriented positioning.</w:t>
      </w:r>
    </w:p>
    <w:p w14:paraId="674194B9" w14:textId="77777777" w:rsidR="009414CB" w:rsidRDefault="00000000">
      <w:pPr>
        <w:pStyle w:val="Heading1"/>
      </w:pPr>
      <w:r>
        <w:t>4   Experimental Setup</w:t>
      </w:r>
    </w:p>
    <w:p w14:paraId="59F36D60" w14:textId="77777777" w:rsidR="009414CB" w:rsidRDefault="00000000">
      <w:pPr>
        <w:pStyle w:val="Heading2"/>
      </w:pPr>
      <w:r>
        <w:t>4.1   Dataset and Annotation</w:t>
      </w:r>
    </w:p>
    <w:p w14:paraId="6AB7D27D" w14:textId="77777777" w:rsidR="009414CB" w:rsidRDefault="00000000">
      <w:pPr>
        <w:spacing w:before="60" w:after="60"/>
        <w:ind w:firstLine="720"/>
        <w:jc w:val="both"/>
      </w:pPr>
      <w:r>
        <w:rPr>
          <w:b/>
          <w:bCs/>
          <w:color w:val="000000"/>
        </w:rPr>
        <w:t>Core benchmark.</w:t>
      </w:r>
      <w:r>
        <w:rPr>
          <w:color w:val="000000"/>
        </w:rPr>
        <w:t xml:space="preserve"> We use VLegal-Bench [2] as the primary evaluation benchmark. VLegal-Bench comprises 10,450 samples drawn from Vietnamese legal documents covering civil law, criminal law, administrative law, and commercial law. Tasks are distributed across 22 categories and five cognitive levels: knowledge recall, comprehension, application, analysis, and synthesis/evaluation. The four question types—MLC, BC, extraction, and generation—provide diverse evaluation signals for both discriminative and generative legal reasoning.</w:t>
      </w:r>
    </w:p>
    <w:p w14:paraId="291304B7" w14:textId="77777777" w:rsidR="009414CB" w:rsidRDefault="00000000">
      <w:pPr>
        <w:spacing w:before="60" w:after="60"/>
        <w:ind w:firstLine="720"/>
        <w:jc w:val="both"/>
      </w:pPr>
      <w:r>
        <w:rPr>
          <w:b/>
          <w:bCs/>
          <w:color w:val="000000"/>
        </w:rPr>
        <w:t>Reliability annotation subset.</w:t>
      </w:r>
      <w:r>
        <w:rPr>
          <w:color w:val="000000"/>
        </w:rPr>
        <w:t xml:space="preserve"> We select a subset of VLegal-Bench for reliability annotation, targeting tasks most sensitive to citation errors, temporal reasoning failures, and unsupported-claim generation. Priority tasks include article recall, article/clause prediction, judgment verification, and judicial reasoning generation, as these most directly expose citation faithfulness and temporal validity dimensions.</w:t>
      </w:r>
    </w:p>
    <w:p w14:paraId="59A8AB42" w14:textId="77777777" w:rsidR="009414CB" w:rsidRDefault="009414CB">
      <w:pPr>
        <w:spacing w:before="40" w:after="40"/>
      </w:pPr>
    </w:p>
    <w:p w14:paraId="36BEE775" w14:textId="77777777" w:rsidR="009414CB" w:rsidRDefault="00000000">
      <w:pPr>
        <w:pBdr>
          <w:top w:val="dashed" w:sz="6" w:space="0" w:color="C00000"/>
          <w:left w:val="dashed" w:sz="6" w:space="0" w:color="C00000"/>
          <w:bottom w:val="dashed" w:sz="6" w:space="0" w:color="C00000"/>
          <w:right w:val="dashed" w:sz="6" w:space="0" w:color="C00000"/>
        </w:pBdr>
        <w:spacing w:before="120" w:after="120"/>
        <w:ind w:left="360" w:right="360"/>
        <w:jc w:val="center"/>
      </w:pPr>
      <w:r>
        <w:rPr>
          <w:b/>
          <w:bCs/>
          <w:color w:val="C00000"/>
        </w:rPr>
        <w:t>[ TABLE 1: Dataset statistics for core benchmark and annotation subset — fill after annotation is complete ]</w:t>
      </w:r>
    </w:p>
    <w:p w14:paraId="54C23D3B" w14:textId="77777777" w:rsidR="009414CB" w:rsidRDefault="00000000">
      <w:pPr>
        <w:spacing w:before="60" w:after="160"/>
        <w:jc w:val="center"/>
      </w:pPr>
      <w:r>
        <w:rPr>
          <w:sz w:val="18"/>
          <w:szCs w:val="18"/>
        </w:rPr>
        <w:t>Table 1. Dataset statistics for VLegal-Bench core benchmark and reliability annotation subset, including sample counts per task group and annotation coverage.</w:t>
      </w:r>
    </w:p>
    <w:p w14:paraId="3AB3F672" w14:textId="77777777" w:rsidR="009414CB" w:rsidRDefault="009414CB">
      <w:pPr>
        <w:spacing w:before="40" w:after="40"/>
      </w:pPr>
    </w:p>
    <w:p w14:paraId="2502507A" w14:textId="7084A590" w:rsidR="009414CB" w:rsidRDefault="00000000">
      <w:pPr>
        <w:spacing w:before="60" w:after="60"/>
        <w:ind w:firstLine="720"/>
        <w:jc w:val="both"/>
      </w:pPr>
      <w:r>
        <w:rPr>
          <w:b/>
          <w:bCs/>
          <w:color w:val="000000"/>
        </w:rPr>
        <w:t>Annotation protocol.</w:t>
      </w:r>
      <w:r>
        <w:rPr>
          <w:color w:val="000000"/>
        </w:rPr>
        <w:t xml:space="preserve"> Annotation is performed by advanced law students (final-year undergraduate and postgraduate level) with demonstrated proficiency in Vietnamese civil, criminal, and administrative law, working under the direct supervision of licensed legal practitioners. All annotators complete a training phase covering the annotation schema, citation grounding conventions, temporal validity reasoning, and inter-annotator calibration exercises before working on production samples. The annotation process follows three stages: (i) independent annotation, in which each annotator labels the sample without consulting others; (ii) adjudication, in which a supervising legal practitioner resolves disagreements by reference to the authoritative statutory text and its official amendment history; and (iii) cross-validation, in which a random 10% of adjudicated samples are re-examined to verify consistency. Each sample is assigned to a team of three annotators.</w:t>
      </w:r>
      <w:r w:rsidR="00F00927">
        <w:rPr>
          <w:color w:val="000000"/>
        </w:rPr>
        <w:t xml:space="preserve"> </w:t>
      </w:r>
      <w:r w:rsidR="00F00927" w:rsidRPr="00F00927">
        <w:rPr>
          <w:b/>
          <w:bCs/>
          <w:i/>
          <w:iCs/>
          <w:color w:val="EE0000"/>
        </w:rPr>
        <w:t>(draft)</w:t>
      </w:r>
    </w:p>
    <w:p w14:paraId="64D622B9" w14:textId="77777777" w:rsidR="009414CB" w:rsidRDefault="00000000">
      <w:pPr>
        <w:spacing w:before="60" w:after="60"/>
        <w:ind w:firstLine="720"/>
        <w:jc w:val="both"/>
      </w:pPr>
      <w:r>
        <w:rPr>
          <w:b/>
          <w:bCs/>
          <w:color w:val="000000"/>
        </w:rPr>
        <w:t>Annotation quality.</w:t>
      </w:r>
      <w:r>
        <w:rPr>
          <w:color w:val="000000"/>
        </w:rPr>
        <w:t xml:space="preserve"> Inter-annotator agreement is measured using Cohen's kappa (κ) for discrete reliability labels and token-level F1 for span-based citation annotations. Target thresholds are κ ≥ 0.75 for reliability labels, κ ≥ 0.80 for temporal validity labels, and citation span F1 ≥ 0.80.</w:t>
      </w:r>
    </w:p>
    <w:p w14:paraId="05FEFB36" w14:textId="77777777" w:rsidR="009414CB" w:rsidRDefault="009414CB">
      <w:pPr>
        <w:spacing w:before="40" w:after="40"/>
      </w:pPr>
    </w:p>
    <w:p w14:paraId="21F7FE97" w14:textId="77777777" w:rsidR="009414CB" w:rsidRDefault="00000000">
      <w:pPr>
        <w:pBdr>
          <w:top w:val="dashed" w:sz="6" w:space="0" w:color="C00000"/>
          <w:left w:val="dashed" w:sz="6" w:space="0" w:color="C00000"/>
          <w:bottom w:val="dashed" w:sz="6" w:space="0" w:color="C00000"/>
          <w:right w:val="dashed" w:sz="6" w:space="0" w:color="C00000"/>
        </w:pBdr>
        <w:spacing w:before="120" w:after="120"/>
        <w:ind w:left="360" w:right="360"/>
        <w:jc w:val="center"/>
      </w:pPr>
      <w:r>
        <w:rPr>
          <w:b/>
          <w:bCs/>
          <w:color w:val="C00000"/>
        </w:rPr>
        <w:t>[ TABLE: Inter-annotator agreement scores per annotation category — fill after annotation ]</w:t>
      </w:r>
    </w:p>
    <w:p w14:paraId="41EEB4A2" w14:textId="77777777" w:rsidR="009414CB" w:rsidRDefault="009414CB">
      <w:pPr>
        <w:spacing w:before="40" w:after="40"/>
      </w:pPr>
    </w:p>
    <w:p w14:paraId="7D947327" w14:textId="77777777" w:rsidR="009414CB" w:rsidRDefault="00000000">
      <w:pPr>
        <w:pStyle w:val="Heading2"/>
      </w:pPr>
      <w:r>
        <w:t>4.2   Baseline Methods and Implementation</w:t>
      </w:r>
    </w:p>
    <w:p w14:paraId="4312AA3C" w14:textId="77777777" w:rsidR="009414CB" w:rsidRDefault="00000000">
      <w:pPr>
        <w:spacing w:before="60" w:after="60"/>
        <w:ind w:firstLine="720"/>
        <w:jc w:val="both"/>
      </w:pPr>
      <w:r>
        <w:rPr>
          <w:color w:val="000000"/>
        </w:rPr>
        <w:t>We compare four systems representing a spectrum of adaptation levels. All systems use the same open-source backbone model selected from the candidate set described in Section 3.1.</w:t>
      </w:r>
    </w:p>
    <w:p w14:paraId="3E199E6F" w14:textId="77777777" w:rsidR="009414CB" w:rsidRDefault="00000000">
      <w:pPr>
        <w:pStyle w:val="ListParagraph"/>
        <w:numPr>
          <w:ilvl w:val="0"/>
          <w:numId w:val="2"/>
        </w:numPr>
        <w:spacing w:before="40" w:after="40"/>
      </w:pPr>
      <w:r>
        <w:rPr>
          <w:b/>
          <w:bCs/>
        </w:rPr>
        <w:t>Baseline 1 (Zero-shot):</w:t>
      </w:r>
      <w:r>
        <w:t xml:space="preserve"> Direct inference on the pre-trained backbone without domain adaptation or legal prompting. This baseline quantifies the raw Vietnamese legal reasoning capability of the foundation model.</w:t>
      </w:r>
    </w:p>
    <w:p w14:paraId="77DFCB9B" w14:textId="77777777" w:rsidR="009414CB" w:rsidRDefault="00000000">
      <w:pPr>
        <w:pStyle w:val="ListParagraph"/>
        <w:numPr>
          <w:ilvl w:val="0"/>
          <w:numId w:val="2"/>
        </w:numPr>
        <w:spacing w:before="40" w:after="40"/>
      </w:pPr>
      <w:r>
        <w:rPr>
          <w:b/>
          <w:bCs/>
        </w:rPr>
        <w:lastRenderedPageBreak/>
        <w:t>Baseline 2 (Legal prompting):</w:t>
      </w:r>
      <w:r>
        <w:t xml:space="preserve"> Inference with structured legal and task-aware prompts specifying the legal domain, required output format, and citation convention, but without any weight updates. This baseline isolates the contribution of structured prompting from parameter adaptation.</w:t>
      </w:r>
    </w:p>
    <w:p w14:paraId="5F92FDDB" w14:textId="77777777" w:rsidR="009414CB" w:rsidRDefault="00000000">
      <w:pPr>
        <w:pStyle w:val="ListParagraph"/>
        <w:numPr>
          <w:ilvl w:val="0"/>
          <w:numId w:val="2"/>
        </w:numPr>
        <w:spacing w:before="40" w:after="40"/>
      </w:pPr>
      <w:r>
        <w:rPr>
          <w:b/>
          <w:bCs/>
        </w:rPr>
        <w:t>Baseline 3 (PEFT, no reliability augmentation):</w:t>
      </w:r>
      <w:r>
        <w:t xml:space="preserve"> LoRA fine-tuning on Vietnamese legal data using the VLegal-Bench training split, without the reliability annotation layer. This baseline isolates the contribution of legal domain adaptation from reliability-oriented supervision.</w:t>
      </w:r>
    </w:p>
    <w:p w14:paraId="2521A0D6" w14:textId="77777777" w:rsidR="009414CB" w:rsidRDefault="00000000">
      <w:pPr>
        <w:pStyle w:val="ListParagraph"/>
        <w:numPr>
          <w:ilvl w:val="0"/>
          <w:numId w:val="2"/>
        </w:numPr>
        <w:spacing w:before="40" w:after="40"/>
      </w:pPr>
      <w:r>
        <w:rPr>
          <w:b/>
          <w:bCs/>
        </w:rPr>
        <w:t>Proposed method (Full framework):</w:t>
      </w:r>
      <w:r>
        <w:t xml:space="preserve"> LoRA fine-tuning combined with task-aware inference, guided by the complete reliability annotation layer (citation grounding + temporal validity + reliability supervision) over the annotated VLegal-Bench subset, with iterative error feedback from Layer 4 to Layer 2.</w:t>
      </w:r>
    </w:p>
    <w:p w14:paraId="16240943" w14:textId="77777777" w:rsidR="009414CB" w:rsidRDefault="009414CB">
      <w:pPr>
        <w:spacing w:before="40" w:after="40"/>
      </w:pPr>
    </w:p>
    <w:p w14:paraId="7F8408CE" w14:textId="77777777" w:rsidR="009414CB" w:rsidRDefault="00000000">
      <w:pPr>
        <w:pBdr>
          <w:top w:val="dashed" w:sz="6" w:space="0" w:color="C00000"/>
          <w:left w:val="dashed" w:sz="6" w:space="0" w:color="C00000"/>
          <w:bottom w:val="dashed" w:sz="6" w:space="0" w:color="C00000"/>
          <w:right w:val="dashed" w:sz="6" w:space="0" w:color="C00000"/>
        </w:pBdr>
        <w:spacing w:before="120" w:after="120"/>
        <w:ind w:left="360" w:right="360"/>
        <w:jc w:val="center"/>
      </w:pPr>
      <w:r>
        <w:rPr>
          <w:b/>
          <w:bCs/>
          <w:color w:val="C00000"/>
        </w:rPr>
        <w:t>[ Implementation details: backbone model name, LoRA rank/alpha, learning rate, batch size, epochs, hardware — fill after experiments ]</w:t>
      </w:r>
    </w:p>
    <w:p w14:paraId="0752D341" w14:textId="77777777" w:rsidR="009414CB" w:rsidRDefault="009414CB">
      <w:pPr>
        <w:spacing w:before="40" w:after="40"/>
      </w:pPr>
    </w:p>
    <w:p w14:paraId="0F7F2761" w14:textId="77777777" w:rsidR="009414CB" w:rsidRDefault="00000000">
      <w:pPr>
        <w:pStyle w:val="Heading2"/>
      </w:pPr>
      <w:r>
        <w:t>4.3   Evaluation Metrics</w:t>
      </w:r>
    </w:p>
    <w:p w14:paraId="1C1661A6" w14:textId="77777777" w:rsidR="009414CB" w:rsidRDefault="00000000">
      <w:pPr>
        <w:spacing w:before="60" w:after="60"/>
        <w:ind w:firstLine="720"/>
        <w:jc w:val="both"/>
      </w:pPr>
      <w:r>
        <w:rPr>
          <w:color w:val="000000"/>
        </w:rPr>
        <w:t>Metrics are organised into two groups corresponding to the two evaluation components of Layer 4.</w:t>
      </w:r>
    </w:p>
    <w:p w14:paraId="21ACD3A1" w14:textId="77777777" w:rsidR="009414CB" w:rsidRDefault="00000000">
      <w:pPr>
        <w:spacing w:before="160" w:after="60"/>
      </w:pPr>
      <w:r>
        <w:rPr>
          <w:b/>
          <w:bCs/>
          <w:i/>
          <w:iCs/>
        </w:rPr>
        <w:t>4.3.1   Core Benchmark Metrics</w:t>
      </w:r>
    </w:p>
    <w:p w14:paraId="7E3F9569" w14:textId="77777777" w:rsidR="009414CB" w:rsidRDefault="00000000">
      <w:pPr>
        <w:spacing w:before="60" w:after="60"/>
        <w:ind w:firstLine="720"/>
        <w:jc w:val="both"/>
      </w:pPr>
      <w:r>
        <w:rPr>
          <w:color w:val="000000"/>
        </w:rPr>
        <w:t>For MLC and BC tasks, we use accuracy (Acc) as the primary metric. For extraction tasks, we use token-level F1. For generation tasks, we use ROUGE-L and, where reference judgments are available, BERTScore. These metrics follow the evaluation protocol defined by VLegal-Bench [2].</w:t>
      </w:r>
    </w:p>
    <w:p w14:paraId="6853D9C0" w14:textId="77777777" w:rsidR="009414CB" w:rsidRDefault="00000000">
      <w:pPr>
        <w:spacing w:before="160" w:after="60"/>
      </w:pPr>
      <w:r>
        <w:rPr>
          <w:b/>
          <w:bCs/>
          <w:i/>
          <w:iCs/>
        </w:rPr>
        <w:t>4.3.2   Reliability Metrics</w:t>
      </w:r>
    </w:p>
    <w:p w14:paraId="73D57749" w14:textId="77777777" w:rsidR="009414CB" w:rsidRDefault="00000000">
      <w:pPr>
        <w:spacing w:before="60" w:after="60"/>
        <w:ind w:firstLine="720"/>
        <w:jc w:val="both"/>
      </w:pPr>
      <w:r>
        <w:rPr>
          <w:color w:val="000000"/>
        </w:rPr>
        <w:t>To evaluate the three reliability dimensions, we define six complementary metrics, drawing on established evaluation practices in factual precision [11], hallucination mitigation [12], temporal question answering [18], and abstention ability assessment [16].</w:t>
      </w:r>
    </w:p>
    <w:p w14:paraId="5F4E11DF" w14:textId="77777777" w:rsidR="009414CB" w:rsidRDefault="009414CB">
      <w:pPr>
        <w:spacing w:before="40" w:after="40"/>
      </w:pPr>
    </w:p>
    <w:p w14:paraId="511076A5" w14:textId="77777777" w:rsidR="009414CB" w:rsidRDefault="00000000">
      <w:pPr>
        <w:spacing w:before="60" w:after="60"/>
        <w:ind w:firstLine="720"/>
        <w:jc w:val="both"/>
      </w:pPr>
      <w:r>
        <w:rPr>
          <w:b/>
          <w:bCs/>
          <w:color w:val="000000"/>
        </w:rPr>
        <w:t>Metric 1 — Citation Correctness (CitAcc).</w:t>
      </w:r>
      <w:r>
        <w:rPr>
          <w:color w:val="000000"/>
        </w:rPr>
        <w:t xml:space="preserve"> The proportion of model responses that correctly identify the supporting legal provision at a specified granularity level g ∈ {document, article, clause}. Adapting the atomic factual precision framework of FActScore [11] to the citation grounding setting:</w:t>
      </w:r>
    </w:p>
    <w:p w14:paraId="7FA48196" w14:textId="77777777" w:rsidR="009414CB" w:rsidRDefault="00000000">
      <w:pPr>
        <w:pBdr>
          <w:left w:val="single" w:sz="6" w:space="0" w:color="888888"/>
        </w:pBdr>
        <w:spacing w:before="80" w:after="80"/>
        <w:ind w:left="720" w:right="720"/>
        <w:jc w:val="center"/>
      </w:pPr>
      <w:r>
        <w:rPr>
          <w:rFonts w:ascii="Courier New" w:eastAsia="Courier New" w:hAnsi="Courier New" w:cs="Courier New"/>
        </w:rPr>
        <w:t>CitAcc = (1/N) * Σᵢ 𝟙[ match(ĉᵢ, c*ᵢ, g) ≥ τ ]</w:t>
      </w:r>
    </w:p>
    <w:p w14:paraId="650C5C0A" w14:textId="77777777" w:rsidR="009414CB" w:rsidRDefault="00000000">
      <w:pPr>
        <w:spacing w:before="60" w:after="60"/>
        <w:ind w:firstLine="720"/>
        <w:jc w:val="both"/>
      </w:pPr>
      <w:r>
        <w:rPr>
          <w:color w:val="000000"/>
        </w:rPr>
        <w:t>where ĉᵢ is the model's predicted citation, c*ᵢ is the gold citation, g is the granularity level, and τ is the matching threshold. For article-level evaluation, τ corresponds to exact article-number match within the correct document.</w:t>
      </w:r>
    </w:p>
    <w:p w14:paraId="2633D1E9" w14:textId="77777777" w:rsidR="009414CB" w:rsidRDefault="009414CB">
      <w:pPr>
        <w:spacing w:before="40" w:after="40"/>
      </w:pPr>
    </w:p>
    <w:p w14:paraId="2D08AF2A" w14:textId="77777777" w:rsidR="009414CB" w:rsidRDefault="00000000">
      <w:pPr>
        <w:spacing w:before="60" w:after="60"/>
        <w:ind w:firstLine="720"/>
        <w:jc w:val="both"/>
      </w:pPr>
      <w:r>
        <w:rPr>
          <w:b/>
          <w:bCs/>
          <w:color w:val="000000"/>
        </w:rPr>
        <w:t>Metrics 2 &amp; 3 — Recency-Aware Score (RAS) and Recency-Aware Recall (RAR).</w:t>
      </w:r>
      <w:r>
        <w:rPr>
          <w:color w:val="000000"/>
        </w:rPr>
        <w:t xml:space="preserve"> We adopt RAS and RAR from [18] to evaluate temporal validity. Unlike binary temporal correctness, RAS applies an exponential decay weighting λ to penalise citations whose validity interval is temporally distant from the reference date dᵢ specified in the query, rewarding models that select provisions temporally closer to the query date. RAR measures the proportion of temporally valid citations retrieved from the annotated evidence set. Let eff(p) and exp(p) denote the effective and expiration dates of provision p:</w:t>
      </w:r>
    </w:p>
    <w:p w14:paraId="413497BA" w14:textId="77777777" w:rsidR="009414CB" w:rsidRDefault="00000000">
      <w:pPr>
        <w:pBdr>
          <w:left w:val="single" w:sz="6" w:space="0" w:color="888888"/>
        </w:pBdr>
        <w:spacing w:before="80" w:after="80"/>
        <w:ind w:left="720" w:right="720"/>
        <w:jc w:val="center"/>
      </w:pPr>
      <w:r>
        <w:rPr>
          <w:rFonts w:ascii="Courier New" w:eastAsia="Courier New" w:hAnsi="Courier New" w:cs="Courier New"/>
        </w:rPr>
        <w:t>RAS = (1/N) * Σᵢ exp(-λ · |dᵢ - mid(eff(p̂ᵢ), exp(p̂ᵢ))|) · 𝟙[eff(p̂ᵢ) ≤ dᵢ ≤ exp(p̂ᵢ)]</w:t>
      </w:r>
    </w:p>
    <w:p w14:paraId="19ADA0A0" w14:textId="77777777" w:rsidR="009414CB" w:rsidRDefault="00000000">
      <w:pPr>
        <w:pBdr>
          <w:left w:val="single" w:sz="6" w:space="0" w:color="888888"/>
        </w:pBdr>
        <w:spacing w:before="80" w:after="80"/>
        <w:ind w:left="720" w:right="720"/>
        <w:jc w:val="center"/>
      </w:pPr>
      <w:r>
        <w:rPr>
          <w:rFonts w:ascii="Courier New" w:eastAsia="Courier New" w:hAnsi="Courier New" w:cs="Courier New"/>
        </w:rPr>
        <w:t>RAR = |{ i : eff(p̂ᵢ) ≤ dᵢ ≤ exp(p̂ᵢ) }| / N</w:t>
      </w:r>
    </w:p>
    <w:p w14:paraId="34F7DCBD" w14:textId="77777777" w:rsidR="009414CB" w:rsidRDefault="00000000">
      <w:pPr>
        <w:spacing w:before="60" w:after="60"/>
        <w:ind w:firstLine="720"/>
        <w:jc w:val="both"/>
      </w:pPr>
      <w:r>
        <w:rPr>
          <w:color w:val="000000"/>
        </w:rPr>
        <w:t>where p̂ᵢ is the model's predicted provision for sample i, mid(·,·) returns the temporal midpoint of a provision's validity interval, and λ is the decay rate hyperparameter (set to λ = 0.01 day⁻¹ in our experiments, corresponding to a half-life of approximately 69 days). RAS and RAR together provide both a graded and a binary measure of temporal validity, enabling fine-grained temporal reasoning analysis.</w:t>
      </w:r>
    </w:p>
    <w:p w14:paraId="23DC047F" w14:textId="77777777" w:rsidR="009414CB" w:rsidRDefault="009414CB">
      <w:pPr>
        <w:spacing w:before="40" w:after="40"/>
      </w:pPr>
    </w:p>
    <w:p w14:paraId="4AA53AB4" w14:textId="77777777" w:rsidR="009414CB" w:rsidRDefault="00000000">
      <w:pPr>
        <w:spacing w:before="60" w:after="60"/>
        <w:ind w:firstLine="720"/>
        <w:jc w:val="both"/>
      </w:pPr>
      <w:r>
        <w:rPr>
          <w:b/>
          <w:bCs/>
          <w:color w:val="000000"/>
        </w:rPr>
        <w:t>Metric 4 — Evidence Support Rate (ESR).</w:t>
      </w:r>
      <w:r>
        <w:rPr>
          <w:color w:val="000000"/>
        </w:rPr>
        <w:t xml:space="preserve"> The proportion of model responses fully supported by at least one annotated evidentiary passage, operationalising the factual support rate of FActScore [11] in the legal citation context:</w:t>
      </w:r>
    </w:p>
    <w:p w14:paraId="3FC9D891" w14:textId="77777777" w:rsidR="009414CB" w:rsidRDefault="00000000">
      <w:pPr>
        <w:pBdr>
          <w:left w:val="single" w:sz="6" w:space="0" w:color="888888"/>
        </w:pBdr>
        <w:spacing w:before="80" w:after="80"/>
        <w:ind w:left="720" w:right="720"/>
        <w:jc w:val="center"/>
      </w:pPr>
      <w:r>
        <w:rPr>
          <w:rFonts w:ascii="Courier New" w:eastAsia="Courier New" w:hAnsi="Courier New" w:cs="Courier New"/>
        </w:rPr>
        <w:t>ESR = |{ i : ∃ e ∈ Eᵢ s.t. entails(e, rᵢ) }| / N</w:t>
      </w:r>
    </w:p>
    <w:p w14:paraId="3D860FF6" w14:textId="77777777" w:rsidR="009414CB" w:rsidRDefault="00000000">
      <w:pPr>
        <w:spacing w:before="60" w:after="60"/>
        <w:ind w:firstLine="720"/>
        <w:jc w:val="both"/>
      </w:pPr>
      <w:r>
        <w:rPr>
          <w:color w:val="000000"/>
        </w:rPr>
        <w:lastRenderedPageBreak/>
        <w:t>where Eᵢ is the set of annotated evidentiary passages for sample i, rᵢ is the model's response, and entails(e, r) is the textual entailment relation determined by an NLI classifier fine-tuned on Vietnamese legal text.</w:t>
      </w:r>
    </w:p>
    <w:p w14:paraId="5B1F2FAD" w14:textId="77777777" w:rsidR="009414CB" w:rsidRDefault="009414CB">
      <w:pPr>
        <w:spacing w:before="40" w:after="40"/>
      </w:pPr>
    </w:p>
    <w:p w14:paraId="5674DB7C" w14:textId="77777777" w:rsidR="009414CB" w:rsidRDefault="00000000">
      <w:pPr>
        <w:spacing w:before="60" w:after="60"/>
        <w:ind w:firstLine="720"/>
        <w:jc w:val="both"/>
      </w:pPr>
      <w:r>
        <w:rPr>
          <w:b/>
          <w:bCs/>
          <w:color w:val="000000"/>
        </w:rPr>
        <w:t>Metric 5 — Unsupported Claim Rate (UCR).</w:t>
      </w:r>
      <w:r>
        <w:rPr>
          <w:color w:val="000000"/>
        </w:rPr>
        <w:t xml:space="preserve"> The proportion of model responses containing at least one claim not supported by any annotated evidence. In the binary case, UCR = 1 − ESR. A finer-grained variant counts the fraction of individual atomic claims that lack evidence support:</w:t>
      </w:r>
    </w:p>
    <w:p w14:paraId="5C150381" w14:textId="77777777" w:rsidR="009414CB" w:rsidRDefault="00000000">
      <w:pPr>
        <w:pBdr>
          <w:left w:val="single" w:sz="6" w:space="0" w:color="888888"/>
        </w:pBdr>
        <w:spacing w:before="80" w:after="80"/>
        <w:ind w:left="720" w:right="720"/>
        <w:jc w:val="center"/>
      </w:pPr>
      <w:r>
        <w:rPr>
          <w:rFonts w:ascii="Courier New" w:eastAsia="Courier New" w:hAnsi="Courier New" w:cs="Courier New"/>
        </w:rPr>
        <w:t>UCR_fine = (1/N) * Σᵢ (|unsupported_claims(rᵢ, Eᵢ)| / |atomic_claims(rᵢ)|)</w:t>
      </w:r>
    </w:p>
    <w:p w14:paraId="2D345570" w14:textId="77777777" w:rsidR="009414CB" w:rsidRDefault="00000000">
      <w:pPr>
        <w:spacing w:before="60" w:after="60"/>
        <w:ind w:firstLine="720"/>
        <w:jc w:val="both"/>
      </w:pPr>
      <w:r>
        <w:rPr>
          <w:color w:val="000000"/>
        </w:rPr>
        <w:t>UCR is reported as the primary hallucination indicator; lower values reflect greater response reliability.</w:t>
      </w:r>
    </w:p>
    <w:p w14:paraId="4BBE80E7" w14:textId="77777777" w:rsidR="009414CB" w:rsidRDefault="009414CB">
      <w:pPr>
        <w:spacing w:before="40" w:after="40"/>
      </w:pPr>
    </w:p>
    <w:p w14:paraId="6664083D" w14:textId="77777777" w:rsidR="009414CB" w:rsidRDefault="00000000">
      <w:pPr>
        <w:spacing w:before="60" w:after="60"/>
        <w:ind w:firstLine="720"/>
        <w:jc w:val="both"/>
      </w:pPr>
      <w:r>
        <w:rPr>
          <w:b/>
          <w:bCs/>
          <w:color w:val="000000"/>
        </w:rPr>
        <w:t>Metric 6 — Abstention Accuracy (AbsAcc).</w:t>
      </w:r>
      <w:r>
        <w:rPr>
          <w:color w:val="000000"/>
        </w:rPr>
        <w:t xml:space="preserve"> Over the set SA of samples labelled should-abstain in the reliability annotation layer, the proportion of model responses that correctly express uncertainty or decline to provide a definitive answer. Following the abstention evaluation framework of Abstain-QA [16]:</w:t>
      </w:r>
    </w:p>
    <w:p w14:paraId="269D02B3" w14:textId="77777777" w:rsidR="009414CB" w:rsidRDefault="00000000">
      <w:pPr>
        <w:pBdr>
          <w:left w:val="single" w:sz="6" w:space="0" w:color="888888"/>
        </w:pBdr>
        <w:spacing w:before="80" w:after="80"/>
        <w:ind w:left="720" w:right="720"/>
        <w:jc w:val="center"/>
      </w:pPr>
      <w:r>
        <w:rPr>
          <w:rFonts w:ascii="Courier New" w:eastAsia="Courier New" w:hAnsi="Courier New" w:cs="Courier New"/>
        </w:rPr>
        <w:t>AbsAcc = |{ i ∈ SA : abstained(rᵢ) }| / |SA|,   SA = { i : should-abstainᵢ = 1 }</w:t>
      </w:r>
    </w:p>
    <w:p w14:paraId="707D4E23" w14:textId="77777777" w:rsidR="009414CB" w:rsidRDefault="00000000">
      <w:pPr>
        <w:spacing w:before="60" w:after="60"/>
        <w:ind w:firstLine="720"/>
        <w:jc w:val="both"/>
      </w:pPr>
      <w:r>
        <w:rPr>
          <w:color w:val="000000"/>
        </w:rPr>
        <w:t>Abstention detection follows the taxonomy of [16], classifying responses as abstained if they contain explicit uncertainty markers, refusal phrases, or requests for additional information rather than providing a direct legal conclusion.</w:t>
      </w:r>
    </w:p>
    <w:p w14:paraId="122B8F00" w14:textId="77777777" w:rsidR="009414CB" w:rsidRDefault="009414CB">
      <w:pPr>
        <w:spacing w:before="40" w:after="40"/>
      </w:pPr>
    </w:p>
    <w:p w14:paraId="2C19B743" w14:textId="77777777" w:rsidR="009414CB" w:rsidRDefault="00000000">
      <w:pPr>
        <w:spacing w:before="60" w:after="60"/>
        <w:ind w:firstLine="720"/>
        <w:jc w:val="both"/>
      </w:pPr>
      <w:r>
        <w:rPr>
          <w:color w:val="000000"/>
        </w:rPr>
        <w:t>Results are reported and interpreted across three dimensions: correctness (core benchmark accuracy), legal reasoning quality (task-group performance analysis), and trustworthiness (six reliability metrics CitAcc, RAS, RAR, ESR, UCR, AbsAcc).</w:t>
      </w:r>
    </w:p>
    <w:p w14:paraId="71984B05" w14:textId="77777777" w:rsidR="009414CB" w:rsidRDefault="00000000">
      <w:pPr>
        <w:pStyle w:val="Heading1"/>
      </w:pPr>
      <w:r>
        <w:t>5   Results</w:t>
      </w:r>
    </w:p>
    <w:p w14:paraId="7A82FC2B" w14:textId="77777777" w:rsidR="009414CB" w:rsidRDefault="00000000">
      <w:pPr>
        <w:pStyle w:val="Heading2"/>
      </w:pPr>
      <w:r>
        <w:t>5.1   Performance on Core Benchmark</w:t>
      </w:r>
    </w:p>
    <w:p w14:paraId="0E10F97B" w14:textId="77777777" w:rsidR="009414CB" w:rsidRDefault="00000000">
      <w:pPr>
        <w:spacing w:before="60" w:after="60"/>
        <w:ind w:firstLine="720"/>
        <w:jc w:val="both"/>
      </w:pPr>
      <w:r>
        <w:rPr>
          <w:color w:val="000000"/>
        </w:rPr>
        <w:t>Table 2 reports performance of all four systems on VLegal-Bench, aggregated by task group. Results are presented separately for recognition/classification, extraction/verification, prediction/reasoning, and generation/ethics tasks to enable task-group analysis across the five cognitive levels.</w:t>
      </w:r>
    </w:p>
    <w:p w14:paraId="3C3FA0E7" w14:textId="77777777" w:rsidR="009414CB" w:rsidRDefault="009414C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15"/>
        <w:gridCol w:w="1715"/>
        <w:gridCol w:w="1715"/>
        <w:gridCol w:w="1715"/>
      </w:tblGrid>
      <w:tr w:rsidR="009414CB" w14:paraId="70FCFF87" w14:textId="77777777">
        <w:tblPrEx>
          <w:tblCellMar>
            <w:top w:w="0" w:type="dxa"/>
            <w:bottom w:w="0" w:type="dxa"/>
          </w:tblCellMar>
        </w:tblPrEx>
        <w:tc>
          <w:tcPr>
            <w:tcW w:w="25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700C80C0" w14:textId="77777777" w:rsidR="009414CB" w:rsidRDefault="009414CB"/>
        </w:tc>
        <w:tc>
          <w:tcPr>
            <w:tcW w:w="1715"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2AB446DA" w14:textId="77777777" w:rsidR="009414CB" w:rsidRDefault="009414CB"/>
        </w:tc>
        <w:tc>
          <w:tcPr>
            <w:tcW w:w="1715"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610EF1D5" w14:textId="77777777" w:rsidR="009414CB" w:rsidRDefault="009414CB"/>
        </w:tc>
        <w:tc>
          <w:tcPr>
            <w:tcW w:w="1715"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15607403" w14:textId="77777777" w:rsidR="009414CB" w:rsidRDefault="009414CB"/>
        </w:tc>
        <w:tc>
          <w:tcPr>
            <w:tcW w:w="1715"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304F65B1" w14:textId="77777777" w:rsidR="009414CB" w:rsidRDefault="009414CB"/>
        </w:tc>
      </w:tr>
      <w:tr w:rsidR="009414CB" w14:paraId="74BF67D4"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E3E224" w14:textId="77777777" w:rsidR="009414CB" w:rsidRDefault="00000000">
            <w:pPr>
              <w:spacing w:before="20" w:after="20"/>
              <w:jc w:val="center"/>
            </w:pPr>
            <w:r>
              <w:rPr>
                <w:b/>
                <w:bCs/>
                <w:sz w:val="18"/>
                <w:szCs w:val="18"/>
              </w:rPr>
              <w:t>Method</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6761E9" w14:textId="77777777" w:rsidR="009414CB" w:rsidRDefault="00000000">
            <w:pPr>
              <w:spacing w:before="20" w:after="20"/>
              <w:jc w:val="center"/>
            </w:pPr>
            <w:r>
              <w:rPr>
                <w:b/>
                <w:bCs/>
                <w:sz w:val="18"/>
                <w:szCs w:val="18"/>
              </w:rPr>
              <w:t>Recog./Class. (Acc)</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23F187" w14:textId="77777777" w:rsidR="009414CB" w:rsidRDefault="00000000">
            <w:pPr>
              <w:spacing w:before="20" w:after="20"/>
              <w:jc w:val="center"/>
            </w:pPr>
            <w:r>
              <w:rPr>
                <w:b/>
                <w:bCs/>
                <w:sz w:val="18"/>
                <w:szCs w:val="18"/>
              </w:rPr>
              <w:t>Extract./Verif. (F1)</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F57F44" w14:textId="77777777" w:rsidR="009414CB" w:rsidRDefault="00000000">
            <w:pPr>
              <w:spacing w:before="20" w:after="20"/>
              <w:jc w:val="center"/>
            </w:pPr>
            <w:r>
              <w:rPr>
                <w:b/>
                <w:bCs/>
                <w:sz w:val="18"/>
                <w:szCs w:val="18"/>
              </w:rPr>
              <w:t>Pred./Reason. (Acc)</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202886" w14:textId="77777777" w:rsidR="009414CB" w:rsidRDefault="00000000">
            <w:pPr>
              <w:spacing w:before="20" w:after="20"/>
              <w:jc w:val="center"/>
            </w:pPr>
            <w:r>
              <w:rPr>
                <w:b/>
                <w:bCs/>
                <w:sz w:val="18"/>
                <w:szCs w:val="18"/>
              </w:rPr>
              <w:t>Gen./Ethics (ROUGE-L)</w:t>
            </w:r>
          </w:p>
        </w:tc>
      </w:tr>
      <w:tr w:rsidR="009414CB" w14:paraId="74DBF5CA" w14:textId="77777777">
        <w:tblPrEx>
          <w:tblCellMar>
            <w:top w:w="0" w:type="dxa"/>
            <w:bottom w:w="0" w:type="dxa"/>
          </w:tblCellMar>
        </w:tblPrEx>
        <w:tc>
          <w:tcPr>
            <w:tcW w:w="250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6DFF3755" w14:textId="77777777" w:rsidR="009414CB" w:rsidRDefault="009414CB"/>
        </w:tc>
        <w:tc>
          <w:tcPr>
            <w:tcW w:w="1715"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72FAB9E0" w14:textId="77777777" w:rsidR="009414CB" w:rsidRDefault="009414CB"/>
        </w:tc>
        <w:tc>
          <w:tcPr>
            <w:tcW w:w="1715"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17B9CC46" w14:textId="77777777" w:rsidR="009414CB" w:rsidRDefault="009414CB"/>
        </w:tc>
        <w:tc>
          <w:tcPr>
            <w:tcW w:w="1715"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4DDE63AF" w14:textId="77777777" w:rsidR="009414CB" w:rsidRDefault="009414CB"/>
        </w:tc>
        <w:tc>
          <w:tcPr>
            <w:tcW w:w="1715"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67A30AA3" w14:textId="77777777" w:rsidR="009414CB" w:rsidRDefault="009414CB"/>
        </w:tc>
      </w:tr>
      <w:tr w:rsidR="009414CB" w14:paraId="3AB5C4DF"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7139C6" w14:textId="77777777" w:rsidR="009414CB" w:rsidRDefault="00000000">
            <w:pPr>
              <w:spacing w:before="20" w:after="20"/>
            </w:pPr>
            <w:r>
              <w:rPr>
                <w:sz w:val="18"/>
                <w:szCs w:val="18"/>
              </w:rPr>
              <w:t>Baseline 1 (Zero-shot)</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C23047" w14:textId="77777777" w:rsidR="009414CB" w:rsidRDefault="00000000">
            <w:pPr>
              <w:spacing w:before="20" w:after="20"/>
              <w:jc w:val="center"/>
            </w:pPr>
            <w:r>
              <w:rPr>
                <w:sz w:val="18"/>
                <w:szCs w:val="18"/>
              </w:rPr>
              <w:t>[—]</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C2FB58" w14:textId="77777777" w:rsidR="009414CB" w:rsidRDefault="00000000">
            <w:pPr>
              <w:spacing w:before="20" w:after="20"/>
              <w:jc w:val="center"/>
            </w:pPr>
            <w:r>
              <w:rPr>
                <w:sz w:val="18"/>
                <w:szCs w:val="18"/>
              </w:rPr>
              <w:t>[—]</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3139DB" w14:textId="77777777" w:rsidR="009414CB" w:rsidRDefault="00000000">
            <w:pPr>
              <w:spacing w:before="20" w:after="20"/>
              <w:jc w:val="center"/>
            </w:pPr>
            <w:r>
              <w:rPr>
                <w:sz w:val="18"/>
                <w:szCs w:val="18"/>
              </w:rPr>
              <w:t>[—]</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856D10" w14:textId="77777777" w:rsidR="009414CB" w:rsidRDefault="00000000">
            <w:pPr>
              <w:spacing w:before="20" w:after="20"/>
              <w:jc w:val="center"/>
            </w:pPr>
            <w:r>
              <w:rPr>
                <w:sz w:val="18"/>
                <w:szCs w:val="18"/>
              </w:rPr>
              <w:t>[—]</w:t>
            </w:r>
          </w:p>
        </w:tc>
      </w:tr>
      <w:tr w:rsidR="009414CB" w14:paraId="5CF9B7ED"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4E727B" w14:textId="77777777" w:rsidR="009414CB" w:rsidRDefault="00000000">
            <w:pPr>
              <w:spacing w:before="20" w:after="20"/>
            </w:pPr>
            <w:r>
              <w:rPr>
                <w:sz w:val="18"/>
                <w:szCs w:val="18"/>
              </w:rPr>
              <w:t>Baseline 2 (Prompting)</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8ABFDC" w14:textId="77777777" w:rsidR="009414CB" w:rsidRDefault="00000000">
            <w:pPr>
              <w:spacing w:before="20" w:after="20"/>
              <w:jc w:val="center"/>
            </w:pPr>
            <w:r>
              <w:rPr>
                <w:sz w:val="18"/>
                <w:szCs w:val="18"/>
              </w:rPr>
              <w:t>[—]</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EF3956" w14:textId="77777777" w:rsidR="009414CB" w:rsidRDefault="00000000">
            <w:pPr>
              <w:spacing w:before="20" w:after="20"/>
              <w:jc w:val="center"/>
            </w:pPr>
            <w:r>
              <w:rPr>
                <w:sz w:val="18"/>
                <w:szCs w:val="18"/>
              </w:rPr>
              <w:t>[—]</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77469F" w14:textId="77777777" w:rsidR="009414CB" w:rsidRDefault="00000000">
            <w:pPr>
              <w:spacing w:before="20" w:after="20"/>
              <w:jc w:val="center"/>
            </w:pPr>
            <w:r>
              <w:rPr>
                <w:sz w:val="18"/>
                <w:szCs w:val="18"/>
              </w:rPr>
              <w:t>[—]</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DD2C4F" w14:textId="77777777" w:rsidR="009414CB" w:rsidRDefault="00000000">
            <w:pPr>
              <w:spacing w:before="20" w:after="20"/>
              <w:jc w:val="center"/>
            </w:pPr>
            <w:r>
              <w:rPr>
                <w:sz w:val="18"/>
                <w:szCs w:val="18"/>
              </w:rPr>
              <w:t>[—]</w:t>
            </w:r>
          </w:p>
        </w:tc>
      </w:tr>
      <w:tr w:rsidR="009414CB" w14:paraId="4FB56967"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11E825" w14:textId="77777777" w:rsidR="009414CB" w:rsidRDefault="00000000">
            <w:pPr>
              <w:spacing w:before="20" w:after="20"/>
            </w:pPr>
            <w:r>
              <w:rPr>
                <w:sz w:val="18"/>
                <w:szCs w:val="18"/>
              </w:rPr>
              <w:t>Baseline 3 (PEFT, no aug.)</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03C69C" w14:textId="77777777" w:rsidR="009414CB" w:rsidRDefault="00000000">
            <w:pPr>
              <w:spacing w:before="20" w:after="20"/>
              <w:jc w:val="center"/>
            </w:pPr>
            <w:r>
              <w:rPr>
                <w:sz w:val="18"/>
                <w:szCs w:val="18"/>
              </w:rPr>
              <w:t>[—]</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E70931" w14:textId="77777777" w:rsidR="009414CB" w:rsidRDefault="00000000">
            <w:pPr>
              <w:spacing w:before="20" w:after="20"/>
              <w:jc w:val="center"/>
            </w:pPr>
            <w:r>
              <w:rPr>
                <w:sz w:val="18"/>
                <w:szCs w:val="18"/>
              </w:rPr>
              <w:t>[—]</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587152" w14:textId="77777777" w:rsidR="009414CB" w:rsidRDefault="00000000">
            <w:pPr>
              <w:spacing w:before="20" w:after="20"/>
              <w:jc w:val="center"/>
            </w:pPr>
            <w:r>
              <w:rPr>
                <w:sz w:val="18"/>
                <w:szCs w:val="18"/>
              </w:rPr>
              <w:t>[—]</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002C70" w14:textId="77777777" w:rsidR="009414CB" w:rsidRDefault="00000000">
            <w:pPr>
              <w:spacing w:before="20" w:after="20"/>
              <w:jc w:val="center"/>
            </w:pPr>
            <w:r>
              <w:rPr>
                <w:sz w:val="18"/>
                <w:szCs w:val="18"/>
              </w:rPr>
              <w:t>[—]</w:t>
            </w:r>
          </w:p>
        </w:tc>
      </w:tr>
      <w:tr w:rsidR="009414CB" w14:paraId="187A7E38"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996E67" w14:textId="77777777" w:rsidR="009414CB" w:rsidRDefault="00000000">
            <w:pPr>
              <w:spacing w:before="20" w:after="20"/>
            </w:pPr>
            <w:r>
              <w:rPr>
                <w:sz w:val="18"/>
                <w:szCs w:val="18"/>
              </w:rPr>
              <w:t>Proposed (Full framework)</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2D6B65" w14:textId="77777777" w:rsidR="009414CB" w:rsidRDefault="00000000">
            <w:pPr>
              <w:spacing w:before="20" w:after="20"/>
              <w:jc w:val="center"/>
            </w:pPr>
            <w:r>
              <w:rPr>
                <w:sz w:val="18"/>
                <w:szCs w:val="18"/>
              </w:rPr>
              <w:t>[—]</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7DAC7A" w14:textId="77777777" w:rsidR="009414CB" w:rsidRDefault="00000000">
            <w:pPr>
              <w:spacing w:before="20" w:after="20"/>
              <w:jc w:val="center"/>
            </w:pPr>
            <w:r>
              <w:rPr>
                <w:sz w:val="18"/>
                <w:szCs w:val="18"/>
              </w:rPr>
              <w:t>[—]</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4E934D" w14:textId="77777777" w:rsidR="009414CB" w:rsidRDefault="00000000">
            <w:pPr>
              <w:spacing w:before="20" w:after="20"/>
              <w:jc w:val="center"/>
            </w:pPr>
            <w:r>
              <w:rPr>
                <w:sz w:val="18"/>
                <w:szCs w:val="18"/>
              </w:rPr>
              <w:t>[—]</w:t>
            </w:r>
          </w:p>
        </w:tc>
        <w:tc>
          <w:tcPr>
            <w:tcW w:w="171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75A653" w14:textId="77777777" w:rsidR="009414CB" w:rsidRDefault="00000000">
            <w:pPr>
              <w:spacing w:before="20" w:after="20"/>
              <w:jc w:val="center"/>
            </w:pPr>
            <w:r>
              <w:rPr>
                <w:sz w:val="18"/>
                <w:szCs w:val="18"/>
              </w:rPr>
              <w:t>[—]</w:t>
            </w:r>
          </w:p>
        </w:tc>
      </w:tr>
      <w:tr w:rsidR="009414CB" w14:paraId="265E0AEB" w14:textId="77777777">
        <w:tblPrEx>
          <w:tblCellMar>
            <w:top w:w="0" w:type="dxa"/>
            <w:bottom w:w="0" w:type="dxa"/>
          </w:tblCellMar>
        </w:tblPrEx>
        <w:tc>
          <w:tcPr>
            <w:tcW w:w="25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2E48E96F" w14:textId="77777777" w:rsidR="009414CB" w:rsidRDefault="009414CB"/>
        </w:tc>
        <w:tc>
          <w:tcPr>
            <w:tcW w:w="1715"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3E301EEA" w14:textId="77777777" w:rsidR="009414CB" w:rsidRDefault="009414CB"/>
        </w:tc>
        <w:tc>
          <w:tcPr>
            <w:tcW w:w="1715"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571EDDCF" w14:textId="77777777" w:rsidR="009414CB" w:rsidRDefault="009414CB"/>
        </w:tc>
        <w:tc>
          <w:tcPr>
            <w:tcW w:w="1715"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56303021" w14:textId="77777777" w:rsidR="009414CB" w:rsidRDefault="009414CB"/>
        </w:tc>
        <w:tc>
          <w:tcPr>
            <w:tcW w:w="1715"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11B34B57" w14:textId="77777777" w:rsidR="009414CB" w:rsidRDefault="009414CB"/>
        </w:tc>
      </w:tr>
    </w:tbl>
    <w:p w14:paraId="00D5A9B3" w14:textId="77777777" w:rsidR="009414CB" w:rsidRDefault="00000000">
      <w:pPr>
        <w:spacing w:before="60" w:after="160"/>
        <w:jc w:val="center"/>
      </w:pPr>
      <w:r>
        <w:rPr>
          <w:sz w:val="18"/>
          <w:szCs w:val="18"/>
        </w:rPr>
        <w:t>Table 2. Core benchmark performance on VLegal-Bench across four task groups. [—] = to be filled with experimental results. Bold indicates best result per column.</w:t>
      </w:r>
    </w:p>
    <w:p w14:paraId="1FDBE0B7" w14:textId="77777777" w:rsidR="009414CB" w:rsidRDefault="009414CB">
      <w:pPr>
        <w:spacing w:before="40" w:after="40"/>
      </w:pPr>
    </w:p>
    <w:p w14:paraId="51489829" w14:textId="77777777" w:rsidR="009414CB" w:rsidRDefault="00000000">
      <w:pPr>
        <w:spacing w:before="60" w:after="60"/>
        <w:ind w:firstLine="720"/>
        <w:jc w:val="both"/>
      </w:pPr>
      <w:r>
        <w:rPr>
          <w:color w:val="888888"/>
        </w:rPr>
        <w:t>[ANALYSIS TO BE WRITTEN AFTER EXPERIMENTS. Describe: (1) which task groups show the largest gains for the proposed method vs. baselines; (2) whether PEFT without reliability annotation (Baseline 3) approaches the proposed method on structured tasks but diverges on generation tasks; (3) the magnitude of the zero-shot gap across task groups as evidence of the need for domain adaptation.]</w:t>
      </w:r>
    </w:p>
    <w:p w14:paraId="69022D67" w14:textId="77777777" w:rsidR="009414CB" w:rsidRDefault="00000000">
      <w:pPr>
        <w:pStyle w:val="Heading2"/>
      </w:pPr>
      <w:r>
        <w:t>5.2   Performance on Reliability Metrics</w:t>
      </w:r>
    </w:p>
    <w:p w14:paraId="1394BC1C" w14:textId="77777777" w:rsidR="009414CB" w:rsidRDefault="00000000">
      <w:pPr>
        <w:spacing w:before="60" w:after="60"/>
        <w:ind w:firstLine="720"/>
        <w:jc w:val="both"/>
      </w:pPr>
      <w:r>
        <w:rPr>
          <w:color w:val="000000"/>
        </w:rPr>
        <w:t>Table 3 reports all six reliability metrics for all four systems over the annotated subset, directly addressing the trustworthiness dimension absent from standard benchmark evaluation.</w:t>
      </w:r>
    </w:p>
    <w:p w14:paraId="4C014308" w14:textId="77777777" w:rsidR="009414CB" w:rsidRDefault="009414C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1298"/>
        <w:gridCol w:w="1120"/>
        <w:gridCol w:w="1120"/>
        <w:gridCol w:w="1120"/>
        <w:gridCol w:w="1120"/>
        <w:gridCol w:w="1120"/>
      </w:tblGrid>
      <w:tr w:rsidR="009414CB" w14:paraId="30E19F1F" w14:textId="77777777">
        <w:tblPrEx>
          <w:tblCellMar>
            <w:top w:w="0" w:type="dxa"/>
            <w:bottom w:w="0" w:type="dxa"/>
          </w:tblCellMar>
        </w:tblPrEx>
        <w:tc>
          <w:tcPr>
            <w:tcW w:w="22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677560F9" w14:textId="77777777" w:rsidR="009414CB" w:rsidRDefault="009414CB"/>
        </w:tc>
        <w:tc>
          <w:tcPr>
            <w:tcW w:w="116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1D160CD9" w14:textId="77777777" w:rsidR="009414CB" w:rsidRDefault="009414CB"/>
        </w:tc>
        <w:tc>
          <w:tcPr>
            <w:tcW w:w="10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71F792E2" w14:textId="77777777" w:rsidR="009414CB" w:rsidRDefault="009414CB"/>
        </w:tc>
        <w:tc>
          <w:tcPr>
            <w:tcW w:w="10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41CACED4" w14:textId="77777777" w:rsidR="009414CB" w:rsidRDefault="009414CB"/>
        </w:tc>
        <w:tc>
          <w:tcPr>
            <w:tcW w:w="10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1C6D760E" w14:textId="77777777" w:rsidR="009414CB" w:rsidRDefault="009414CB"/>
        </w:tc>
        <w:tc>
          <w:tcPr>
            <w:tcW w:w="10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2E56C52A" w14:textId="77777777" w:rsidR="009414CB" w:rsidRDefault="009414CB"/>
        </w:tc>
        <w:tc>
          <w:tcPr>
            <w:tcW w:w="10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51D69A13" w14:textId="77777777" w:rsidR="009414CB" w:rsidRDefault="009414CB"/>
        </w:tc>
      </w:tr>
      <w:tr w:rsidR="009414CB" w14:paraId="33CA5D1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A24865" w14:textId="77777777" w:rsidR="009414CB" w:rsidRDefault="00000000">
            <w:pPr>
              <w:spacing w:before="20" w:after="20"/>
              <w:jc w:val="center"/>
            </w:pPr>
            <w:r>
              <w:rPr>
                <w:b/>
                <w:bCs/>
                <w:sz w:val="18"/>
                <w:szCs w:val="18"/>
              </w:rPr>
              <w:t>Method</w:t>
            </w:r>
          </w:p>
        </w:tc>
        <w:tc>
          <w:tcPr>
            <w:tcW w:w="1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C02642" w14:textId="77777777" w:rsidR="009414CB" w:rsidRDefault="00000000">
            <w:pPr>
              <w:spacing w:before="20" w:after="20"/>
              <w:jc w:val="center"/>
            </w:pPr>
            <w:r>
              <w:rPr>
                <w:b/>
                <w:bCs/>
                <w:sz w:val="18"/>
                <w:szCs w:val="18"/>
              </w:rPr>
              <w:t>CitAcc</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88641A" w14:textId="77777777" w:rsidR="009414CB" w:rsidRDefault="00000000">
            <w:pPr>
              <w:spacing w:before="20" w:after="20"/>
              <w:jc w:val="center"/>
            </w:pPr>
            <w:r>
              <w:rPr>
                <w:b/>
                <w:bCs/>
                <w:sz w:val="18"/>
                <w:szCs w:val="18"/>
              </w:rPr>
              <w:t>RAS</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752724" w14:textId="77777777" w:rsidR="009414CB" w:rsidRDefault="00000000">
            <w:pPr>
              <w:spacing w:before="20" w:after="20"/>
              <w:jc w:val="center"/>
            </w:pPr>
            <w:r>
              <w:rPr>
                <w:b/>
                <w:bCs/>
                <w:sz w:val="18"/>
                <w:szCs w:val="18"/>
              </w:rPr>
              <w:t>RAR</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6B66EB" w14:textId="77777777" w:rsidR="009414CB" w:rsidRDefault="00000000">
            <w:pPr>
              <w:spacing w:before="20" w:after="20"/>
              <w:jc w:val="center"/>
            </w:pPr>
            <w:r>
              <w:rPr>
                <w:b/>
                <w:bCs/>
                <w:sz w:val="18"/>
                <w:szCs w:val="18"/>
              </w:rPr>
              <w:t>ESR</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83338" w14:textId="77777777" w:rsidR="009414CB" w:rsidRDefault="00000000">
            <w:pPr>
              <w:spacing w:before="20" w:after="20"/>
              <w:jc w:val="center"/>
            </w:pPr>
            <w:r>
              <w:rPr>
                <w:b/>
                <w:bCs/>
                <w:sz w:val="18"/>
                <w:szCs w:val="18"/>
              </w:rPr>
              <w:t>UCR (↓)</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B1A9C2" w14:textId="77777777" w:rsidR="009414CB" w:rsidRDefault="00000000">
            <w:pPr>
              <w:spacing w:before="20" w:after="20"/>
              <w:jc w:val="center"/>
            </w:pPr>
            <w:r>
              <w:rPr>
                <w:b/>
                <w:bCs/>
                <w:sz w:val="18"/>
                <w:szCs w:val="18"/>
              </w:rPr>
              <w:t>AbsAcc</w:t>
            </w:r>
          </w:p>
        </w:tc>
      </w:tr>
      <w:tr w:rsidR="009414CB" w14:paraId="4AD2B470" w14:textId="77777777">
        <w:tblPrEx>
          <w:tblCellMar>
            <w:top w:w="0" w:type="dxa"/>
            <w:bottom w:w="0" w:type="dxa"/>
          </w:tblCellMar>
        </w:tblPrEx>
        <w:tc>
          <w:tcPr>
            <w:tcW w:w="220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7561ADCA" w14:textId="77777777" w:rsidR="009414CB" w:rsidRDefault="009414CB"/>
        </w:tc>
        <w:tc>
          <w:tcPr>
            <w:tcW w:w="116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3F55234E" w14:textId="77777777" w:rsidR="009414CB" w:rsidRDefault="009414CB"/>
        </w:tc>
        <w:tc>
          <w:tcPr>
            <w:tcW w:w="100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40384A2B" w14:textId="77777777" w:rsidR="009414CB" w:rsidRDefault="009414CB"/>
        </w:tc>
        <w:tc>
          <w:tcPr>
            <w:tcW w:w="100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4A821D80" w14:textId="77777777" w:rsidR="009414CB" w:rsidRDefault="009414CB"/>
        </w:tc>
        <w:tc>
          <w:tcPr>
            <w:tcW w:w="100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7CB29515" w14:textId="77777777" w:rsidR="009414CB" w:rsidRDefault="009414CB"/>
        </w:tc>
        <w:tc>
          <w:tcPr>
            <w:tcW w:w="100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6A0E41CF" w14:textId="77777777" w:rsidR="009414CB" w:rsidRDefault="009414CB"/>
        </w:tc>
        <w:tc>
          <w:tcPr>
            <w:tcW w:w="100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3FFF93B7" w14:textId="77777777" w:rsidR="009414CB" w:rsidRDefault="009414CB"/>
        </w:tc>
      </w:tr>
      <w:tr w:rsidR="009414CB" w14:paraId="5BEFE6F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61082E" w14:textId="77777777" w:rsidR="009414CB" w:rsidRDefault="00000000">
            <w:pPr>
              <w:spacing w:before="20" w:after="20"/>
            </w:pPr>
            <w:r>
              <w:rPr>
                <w:sz w:val="18"/>
                <w:szCs w:val="18"/>
              </w:rPr>
              <w:t>Baseline 1 (Zero-shot)</w:t>
            </w:r>
          </w:p>
        </w:tc>
        <w:tc>
          <w:tcPr>
            <w:tcW w:w="1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8377DE"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9A7177"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FFB8C5"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6055E6"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CC4DF8"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D7EEC6" w14:textId="77777777" w:rsidR="009414CB" w:rsidRDefault="00000000">
            <w:pPr>
              <w:spacing w:before="20" w:after="20"/>
              <w:jc w:val="center"/>
            </w:pPr>
            <w:r>
              <w:rPr>
                <w:sz w:val="18"/>
                <w:szCs w:val="18"/>
              </w:rPr>
              <w:t>[—]</w:t>
            </w:r>
          </w:p>
        </w:tc>
      </w:tr>
      <w:tr w:rsidR="009414CB" w14:paraId="2A01C78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7B6A31" w14:textId="77777777" w:rsidR="009414CB" w:rsidRDefault="00000000">
            <w:pPr>
              <w:spacing w:before="20" w:after="20"/>
            </w:pPr>
            <w:r>
              <w:rPr>
                <w:sz w:val="18"/>
                <w:szCs w:val="18"/>
              </w:rPr>
              <w:t>Baseline 2 (Prompting)</w:t>
            </w:r>
          </w:p>
        </w:tc>
        <w:tc>
          <w:tcPr>
            <w:tcW w:w="1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A5ADF3"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0EF614"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033CF3"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460E65"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A3038B"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CBD6F1" w14:textId="77777777" w:rsidR="009414CB" w:rsidRDefault="00000000">
            <w:pPr>
              <w:spacing w:before="20" w:after="20"/>
              <w:jc w:val="center"/>
            </w:pPr>
            <w:r>
              <w:rPr>
                <w:sz w:val="18"/>
                <w:szCs w:val="18"/>
              </w:rPr>
              <w:t>[—]</w:t>
            </w:r>
          </w:p>
        </w:tc>
      </w:tr>
      <w:tr w:rsidR="009414CB" w14:paraId="7DBF738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502FB5" w14:textId="77777777" w:rsidR="009414CB" w:rsidRDefault="00000000">
            <w:pPr>
              <w:spacing w:before="20" w:after="20"/>
            </w:pPr>
            <w:r>
              <w:rPr>
                <w:sz w:val="18"/>
                <w:szCs w:val="18"/>
              </w:rPr>
              <w:t>Baseline 3 (PEFT, no aug.)</w:t>
            </w:r>
          </w:p>
        </w:tc>
        <w:tc>
          <w:tcPr>
            <w:tcW w:w="1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42E5EF"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7BB79F"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4038A3"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C991F2"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F0A463"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DF61FF" w14:textId="77777777" w:rsidR="009414CB" w:rsidRDefault="00000000">
            <w:pPr>
              <w:spacing w:before="20" w:after="20"/>
              <w:jc w:val="center"/>
            </w:pPr>
            <w:r>
              <w:rPr>
                <w:sz w:val="18"/>
                <w:szCs w:val="18"/>
              </w:rPr>
              <w:t>[—]</w:t>
            </w:r>
          </w:p>
        </w:tc>
      </w:tr>
      <w:tr w:rsidR="009414CB" w14:paraId="409FDC8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C0515F" w14:textId="77777777" w:rsidR="009414CB" w:rsidRDefault="00000000">
            <w:pPr>
              <w:spacing w:before="20" w:after="20"/>
            </w:pPr>
            <w:r>
              <w:rPr>
                <w:sz w:val="18"/>
                <w:szCs w:val="18"/>
              </w:rPr>
              <w:t>Proposed (Full framework)</w:t>
            </w:r>
          </w:p>
        </w:tc>
        <w:tc>
          <w:tcPr>
            <w:tcW w:w="1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FE7411"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B77FC0"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ACBED8"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2232FF"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0B21E6" w14:textId="77777777" w:rsidR="009414CB" w:rsidRDefault="00000000">
            <w:pPr>
              <w:spacing w:before="20" w:after="20"/>
              <w:jc w:val="center"/>
            </w:pPr>
            <w:r>
              <w:rPr>
                <w:sz w:val="18"/>
                <w:szCs w:val="18"/>
              </w:rPr>
              <w:t>[—]</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20566A" w14:textId="77777777" w:rsidR="009414CB" w:rsidRDefault="00000000">
            <w:pPr>
              <w:spacing w:before="20" w:after="20"/>
              <w:jc w:val="center"/>
            </w:pPr>
            <w:r>
              <w:rPr>
                <w:sz w:val="18"/>
                <w:szCs w:val="18"/>
              </w:rPr>
              <w:t>[—]</w:t>
            </w:r>
          </w:p>
        </w:tc>
      </w:tr>
      <w:tr w:rsidR="009414CB" w14:paraId="00B25B11" w14:textId="77777777">
        <w:tblPrEx>
          <w:tblCellMar>
            <w:top w:w="0" w:type="dxa"/>
            <w:bottom w:w="0" w:type="dxa"/>
          </w:tblCellMar>
        </w:tblPrEx>
        <w:tc>
          <w:tcPr>
            <w:tcW w:w="22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4FDBED7A" w14:textId="77777777" w:rsidR="009414CB" w:rsidRDefault="009414CB"/>
        </w:tc>
        <w:tc>
          <w:tcPr>
            <w:tcW w:w="116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43323145" w14:textId="77777777" w:rsidR="009414CB" w:rsidRDefault="009414CB"/>
        </w:tc>
        <w:tc>
          <w:tcPr>
            <w:tcW w:w="10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7798F6A2" w14:textId="77777777" w:rsidR="009414CB" w:rsidRDefault="009414CB"/>
        </w:tc>
        <w:tc>
          <w:tcPr>
            <w:tcW w:w="10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423AAB7F" w14:textId="77777777" w:rsidR="009414CB" w:rsidRDefault="009414CB"/>
        </w:tc>
        <w:tc>
          <w:tcPr>
            <w:tcW w:w="10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5FD210B6" w14:textId="77777777" w:rsidR="009414CB" w:rsidRDefault="009414CB"/>
        </w:tc>
        <w:tc>
          <w:tcPr>
            <w:tcW w:w="10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18D7ED56" w14:textId="77777777" w:rsidR="009414CB" w:rsidRDefault="009414CB"/>
        </w:tc>
        <w:tc>
          <w:tcPr>
            <w:tcW w:w="10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2EB8C034" w14:textId="77777777" w:rsidR="009414CB" w:rsidRDefault="009414CB"/>
        </w:tc>
      </w:tr>
    </w:tbl>
    <w:p w14:paraId="555C5C4A" w14:textId="77777777" w:rsidR="009414CB" w:rsidRDefault="00000000">
      <w:pPr>
        <w:spacing w:before="60" w:after="160"/>
        <w:jc w:val="center"/>
      </w:pPr>
      <w:r>
        <w:rPr>
          <w:sz w:val="18"/>
          <w:szCs w:val="18"/>
        </w:rPr>
        <w:t>Table 3. Reliability metric results on the annotated subset. ↓ = lower is better. [—] = to be filled. RAS and RAR jointly measure temporal validity (Section 4.3.2). Bold indicates best result per column.</w:t>
      </w:r>
    </w:p>
    <w:p w14:paraId="534D56CE" w14:textId="77777777" w:rsidR="009414CB" w:rsidRDefault="009414CB">
      <w:pPr>
        <w:spacing w:before="40" w:after="40"/>
      </w:pPr>
    </w:p>
    <w:p w14:paraId="5907EC8F" w14:textId="77777777" w:rsidR="009414CB" w:rsidRDefault="00000000">
      <w:pPr>
        <w:spacing w:before="60" w:after="60"/>
        <w:ind w:firstLine="720"/>
        <w:jc w:val="both"/>
      </w:pPr>
      <w:r>
        <w:rPr>
          <w:color w:val="888888"/>
        </w:rPr>
        <w:t>[ANALYSIS TO BE WRITTEN AFTER EXPERIMENTS. Describe: (1) CitAcc gains from citation grounding supervision; (2) RAS/RAR improvements reflecting better temporal reasoning; (3) UCR reduction as hallucination mitigation evidence; (4) AbsAcc gains from should-abstain supervision; (5) why Baseline 3 improves CitAcc/ESR but not RAS/AbsAcc without explicit reliability annotation.]</w:t>
      </w:r>
    </w:p>
    <w:p w14:paraId="200B0DFB" w14:textId="77777777" w:rsidR="009414CB" w:rsidRDefault="00000000">
      <w:pPr>
        <w:pStyle w:val="Heading2"/>
      </w:pPr>
      <w:r>
        <w:t>5.3   Ablation Study</w:t>
      </w:r>
    </w:p>
    <w:p w14:paraId="63241C77" w14:textId="77777777" w:rsidR="009414CB" w:rsidRDefault="00000000">
      <w:pPr>
        <w:spacing w:before="60" w:after="60"/>
        <w:ind w:firstLine="720"/>
        <w:jc w:val="both"/>
      </w:pPr>
      <w:r>
        <w:rPr>
          <w:color w:val="000000"/>
        </w:rPr>
        <w:t>To quantify the individual contribution of each annotation component, we conduct an ablation study comparing five configurations with increasing degrees of reliability annotation. Table 4 reports results for the key reliability metrics and average core accuracy.</w:t>
      </w:r>
    </w:p>
    <w:p w14:paraId="7B64E99A" w14:textId="77777777" w:rsidR="009414CB" w:rsidRDefault="009414C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1159"/>
        <w:gridCol w:w="1101"/>
        <w:gridCol w:w="1101"/>
        <w:gridCol w:w="1101"/>
        <w:gridCol w:w="1101"/>
        <w:gridCol w:w="1044"/>
      </w:tblGrid>
      <w:tr w:rsidR="009414CB" w14:paraId="72443E17" w14:textId="77777777">
        <w:tblPrEx>
          <w:tblCellMar>
            <w:top w:w="0" w:type="dxa"/>
            <w:bottom w:w="0" w:type="dxa"/>
          </w:tblCellMar>
        </w:tblPrEx>
        <w:tc>
          <w:tcPr>
            <w:tcW w:w="24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6962BA1F" w14:textId="77777777" w:rsidR="009414CB" w:rsidRDefault="009414CB"/>
        </w:tc>
        <w:tc>
          <w:tcPr>
            <w:tcW w:w="101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0B8B16CC" w14:textId="77777777" w:rsidR="009414CB" w:rsidRDefault="009414CB"/>
        </w:tc>
        <w:tc>
          <w:tcPr>
            <w:tcW w:w="96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71F65A49" w14:textId="77777777" w:rsidR="009414CB" w:rsidRDefault="009414CB"/>
        </w:tc>
        <w:tc>
          <w:tcPr>
            <w:tcW w:w="96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12F29BFB" w14:textId="77777777" w:rsidR="009414CB" w:rsidRDefault="009414CB"/>
        </w:tc>
        <w:tc>
          <w:tcPr>
            <w:tcW w:w="96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0056B099" w14:textId="77777777" w:rsidR="009414CB" w:rsidRDefault="009414CB"/>
        </w:tc>
        <w:tc>
          <w:tcPr>
            <w:tcW w:w="96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18C18AD7" w14:textId="77777777" w:rsidR="009414CB" w:rsidRDefault="009414CB"/>
        </w:tc>
        <w:tc>
          <w:tcPr>
            <w:tcW w:w="91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53F828DB" w14:textId="77777777" w:rsidR="009414CB" w:rsidRDefault="009414CB"/>
        </w:tc>
      </w:tr>
      <w:tr w:rsidR="009414CB" w14:paraId="4D80969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0EF749" w14:textId="77777777" w:rsidR="009414CB" w:rsidRDefault="00000000">
            <w:pPr>
              <w:spacing w:before="20" w:after="20"/>
              <w:jc w:val="center"/>
            </w:pPr>
            <w:r>
              <w:rPr>
                <w:b/>
                <w:bCs/>
                <w:sz w:val="18"/>
                <w:szCs w:val="18"/>
              </w:rPr>
              <w:t>Configuration</w:t>
            </w:r>
          </w:p>
        </w:tc>
        <w:tc>
          <w:tcPr>
            <w:tcW w:w="10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3179F8" w14:textId="77777777" w:rsidR="009414CB" w:rsidRDefault="00000000">
            <w:pPr>
              <w:spacing w:before="20" w:after="20"/>
              <w:jc w:val="center"/>
            </w:pPr>
            <w:r>
              <w:rPr>
                <w:b/>
                <w:bCs/>
                <w:sz w:val="18"/>
                <w:szCs w:val="18"/>
              </w:rPr>
              <w:t>CitAcc</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20FFC0" w14:textId="77777777" w:rsidR="009414CB" w:rsidRDefault="00000000">
            <w:pPr>
              <w:spacing w:before="20" w:after="20"/>
              <w:jc w:val="center"/>
            </w:pPr>
            <w:r>
              <w:rPr>
                <w:b/>
                <w:bCs/>
                <w:sz w:val="18"/>
                <w:szCs w:val="18"/>
              </w:rPr>
              <w:t>RAS</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004EB9" w14:textId="77777777" w:rsidR="009414CB" w:rsidRDefault="00000000">
            <w:pPr>
              <w:spacing w:before="20" w:after="20"/>
              <w:jc w:val="center"/>
            </w:pPr>
            <w:r>
              <w:rPr>
                <w:b/>
                <w:bCs/>
                <w:sz w:val="18"/>
                <w:szCs w:val="18"/>
              </w:rPr>
              <w:t>RAR</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D91793" w14:textId="77777777" w:rsidR="009414CB" w:rsidRDefault="00000000">
            <w:pPr>
              <w:spacing w:before="20" w:after="20"/>
              <w:jc w:val="center"/>
            </w:pPr>
            <w:r>
              <w:rPr>
                <w:b/>
                <w:bCs/>
                <w:sz w:val="18"/>
                <w:szCs w:val="18"/>
              </w:rPr>
              <w:t>ESR</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6A52B8" w14:textId="77777777" w:rsidR="009414CB" w:rsidRDefault="00000000">
            <w:pPr>
              <w:spacing w:before="20" w:after="20"/>
              <w:jc w:val="center"/>
            </w:pPr>
            <w:r>
              <w:rPr>
                <w:b/>
                <w:bCs/>
                <w:sz w:val="18"/>
                <w:szCs w:val="18"/>
              </w:rPr>
              <w:t>AbsAcc</w:t>
            </w:r>
          </w:p>
        </w:tc>
        <w:tc>
          <w:tcPr>
            <w:tcW w:w="9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F44178" w14:textId="77777777" w:rsidR="009414CB" w:rsidRDefault="00000000">
            <w:pPr>
              <w:spacing w:before="20" w:after="20"/>
              <w:jc w:val="center"/>
            </w:pPr>
            <w:r>
              <w:rPr>
                <w:b/>
                <w:bCs/>
                <w:sz w:val="18"/>
                <w:szCs w:val="18"/>
              </w:rPr>
              <w:t>Avg. Core Acc</w:t>
            </w:r>
          </w:p>
        </w:tc>
      </w:tr>
      <w:tr w:rsidR="009414CB" w14:paraId="535C4E6E" w14:textId="77777777">
        <w:tblPrEx>
          <w:tblCellMar>
            <w:top w:w="0" w:type="dxa"/>
            <w:bottom w:w="0" w:type="dxa"/>
          </w:tblCellMar>
        </w:tblPrEx>
        <w:tc>
          <w:tcPr>
            <w:tcW w:w="240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591F3FAE" w14:textId="77777777" w:rsidR="009414CB" w:rsidRDefault="009414CB"/>
        </w:tc>
        <w:tc>
          <w:tcPr>
            <w:tcW w:w="101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1EDAE1F6" w14:textId="77777777" w:rsidR="009414CB" w:rsidRDefault="009414CB"/>
        </w:tc>
        <w:tc>
          <w:tcPr>
            <w:tcW w:w="96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4E1B557C" w14:textId="77777777" w:rsidR="009414CB" w:rsidRDefault="009414CB"/>
        </w:tc>
        <w:tc>
          <w:tcPr>
            <w:tcW w:w="96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09AB5BF4" w14:textId="77777777" w:rsidR="009414CB" w:rsidRDefault="009414CB"/>
        </w:tc>
        <w:tc>
          <w:tcPr>
            <w:tcW w:w="96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0DF35452" w14:textId="77777777" w:rsidR="009414CB" w:rsidRDefault="009414CB"/>
        </w:tc>
        <w:tc>
          <w:tcPr>
            <w:tcW w:w="96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4AF67580" w14:textId="77777777" w:rsidR="009414CB" w:rsidRDefault="009414CB"/>
        </w:tc>
        <w:tc>
          <w:tcPr>
            <w:tcW w:w="910" w:type="dxa"/>
            <w:tcBorders>
              <w:top w:val="single" w:sz="4" w:space="0" w:color="000000"/>
              <w:left w:val="none" w:sz="0" w:space="0" w:color="FFFFFF"/>
              <w:bottom w:val="none" w:sz="0" w:space="0" w:color="FFFFFF"/>
              <w:right w:val="none" w:sz="0" w:space="0" w:color="FFFFFF"/>
            </w:tcBorders>
            <w:tcMar>
              <w:top w:w="0" w:type="dxa"/>
              <w:left w:w="0" w:type="dxa"/>
              <w:bottom w:w="0" w:type="dxa"/>
              <w:right w:w="0" w:type="dxa"/>
            </w:tcMar>
          </w:tcPr>
          <w:p w14:paraId="6C0693AD" w14:textId="77777777" w:rsidR="009414CB" w:rsidRDefault="009414CB"/>
        </w:tc>
      </w:tr>
      <w:tr w:rsidR="009414CB" w14:paraId="6A5445C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39B219" w14:textId="77777777" w:rsidR="009414CB" w:rsidRDefault="00000000">
            <w:pPr>
              <w:spacing w:before="20" w:after="20"/>
            </w:pPr>
            <w:r>
              <w:rPr>
                <w:sz w:val="18"/>
                <w:szCs w:val="18"/>
              </w:rPr>
              <w:t>(i) Prompting only</w:t>
            </w:r>
          </w:p>
        </w:tc>
        <w:tc>
          <w:tcPr>
            <w:tcW w:w="10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721E49"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0088A7"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870FA3"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6FB70F"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CE81EE" w14:textId="77777777" w:rsidR="009414CB" w:rsidRDefault="00000000">
            <w:pPr>
              <w:spacing w:before="20" w:after="20"/>
              <w:jc w:val="center"/>
            </w:pPr>
            <w:r>
              <w:rPr>
                <w:sz w:val="18"/>
                <w:szCs w:val="18"/>
              </w:rPr>
              <w:t>[—]</w:t>
            </w:r>
          </w:p>
        </w:tc>
        <w:tc>
          <w:tcPr>
            <w:tcW w:w="9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5B6C3D" w14:textId="77777777" w:rsidR="009414CB" w:rsidRDefault="00000000">
            <w:pPr>
              <w:spacing w:before="20" w:after="20"/>
              <w:jc w:val="center"/>
            </w:pPr>
            <w:r>
              <w:rPr>
                <w:sz w:val="18"/>
                <w:szCs w:val="18"/>
              </w:rPr>
              <w:t>[—]</w:t>
            </w:r>
          </w:p>
        </w:tc>
      </w:tr>
      <w:tr w:rsidR="009414CB" w14:paraId="78F1EC6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052F5E" w14:textId="77777777" w:rsidR="009414CB" w:rsidRDefault="00000000">
            <w:pPr>
              <w:spacing w:before="20" w:after="20"/>
            </w:pPr>
            <w:r>
              <w:rPr>
                <w:sz w:val="18"/>
                <w:szCs w:val="18"/>
              </w:rPr>
              <w:t>(ii) PEFT, no annotation</w:t>
            </w:r>
          </w:p>
        </w:tc>
        <w:tc>
          <w:tcPr>
            <w:tcW w:w="10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F707B5"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EF8D70"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11BDA2"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A4AF50"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E68A7F" w14:textId="77777777" w:rsidR="009414CB" w:rsidRDefault="00000000">
            <w:pPr>
              <w:spacing w:before="20" w:after="20"/>
              <w:jc w:val="center"/>
            </w:pPr>
            <w:r>
              <w:rPr>
                <w:sz w:val="18"/>
                <w:szCs w:val="18"/>
              </w:rPr>
              <w:t>[—]</w:t>
            </w:r>
          </w:p>
        </w:tc>
        <w:tc>
          <w:tcPr>
            <w:tcW w:w="9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5BFC7C" w14:textId="77777777" w:rsidR="009414CB" w:rsidRDefault="00000000">
            <w:pPr>
              <w:spacing w:before="20" w:after="20"/>
              <w:jc w:val="center"/>
            </w:pPr>
            <w:r>
              <w:rPr>
                <w:sz w:val="18"/>
                <w:szCs w:val="18"/>
              </w:rPr>
              <w:t>[—]</w:t>
            </w:r>
          </w:p>
        </w:tc>
      </w:tr>
      <w:tr w:rsidR="009414CB" w14:paraId="4BE6B0A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07E118" w14:textId="77777777" w:rsidR="009414CB" w:rsidRDefault="00000000">
            <w:pPr>
              <w:spacing w:before="20" w:after="20"/>
            </w:pPr>
            <w:r>
              <w:rPr>
                <w:sz w:val="18"/>
                <w:szCs w:val="18"/>
              </w:rPr>
              <w:t>(iii) PEFT + citation</w:t>
            </w:r>
          </w:p>
        </w:tc>
        <w:tc>
          <w:tcPr>
            <w:tcW w:w="10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534B47"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7BE2D9"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BA62A4"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67162E"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CAAC12" w14:textId="77777777" w:rsidR="009414CB" w:rsidRDefault="00000000">
            <w:pPr>
              <w:spacing w:before="20" w:after="20"/>
              <w:jc w:val="center"/>
            </w:pPr>
            <w:r>
              <w:rPr>
                <w:sz w:val="18"/>
                <w:szCs w:val="18"/>
              </w:rPr>
              <w:t>[—]</w:t>
            </w:r>
          </w:p>
        </w:tc>
        <w:tc>
          <w:tcPr>
            <w:tcW w:w="9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37DB58" w14:textId="77777777" w:rsidR="009414CB" w:rsidRDefault="00000000">
            <w:pPr>
              <w:spacing w:before="20" w:after="20"/>
              <w:jc w:val="center"/>
            </w:pPr>
            <w:r>
              <w:rPr>
                <w:sz w:val="18"/>
                <w:szCs w:val="18"/>
              </w:rPr>
              <w:t>[—]</w:t>
            </w:r>
          </w:p>
        </w:tc>
      </w:tr>
      <w:tr w:rsidR="009414CB" w14:paraId="393ED39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13315B" w14:textId="77777777" w:rsidR="009414CB" w:rsidRDefault="00000000">
            <w:pPr>
              <w:spacing w:before="20" w:after="20"/>
            </w:pPr>
            <w:r>
              <w:rPr>
                <w:sz w:val="18"/>
                <w:szCs w:val="18"/>
              </w:rPr>
              <w:t>(iv) PEFT + citation + temporal</w:t>
            </w:r>
          </w:p>
        </w:tc>
        <w:tc>
          <w:tcPr>
            <w:tcW w:w="10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96F96"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1AAD52"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782F35"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B7C704"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5AB83A" w14:textId="77777777" w:rsidR="009414CB" w:rsidRDefault="00000000">
            <w:pPr>
              <w:spacing w:before="20" w:after="20"/>
              <w:jc w:val="center"/>
            </w:pPr>
            <w:r>
              <w:rPr>
                <w:sz w:val="18"/>
                <w:szCs w:val="18"/>
              </w:rPr>
              <w:t>[—]</w:t>
            </w:r>
          </w:p>
        </w:tc>
        <w:tc>
          <w:tcPr>
            <w:tcW w:w="9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5A3F64" w14:textId="77777777" w:rsidR="009414CB" w:rsidRDefault="00000000">
            <w:pPr>
              <w:spacing w:before="20" w:after="20"/>
              <w:jc w:val="center"/>
            </w:pPr>
            <w:r>
              <w:rPr>
                <w:sz w:val="18"/>
                <w:szCs w:val="18"/>
              </w:rPr>
              <w:t>[—]</w:t>
            </w:r>
          </w:p>
        </w:tc>
      </w:tr>
      <w:tr w:rsidR="009414CB" w14:paraId="760BC8F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492AA4" w14:textId="77777777" w:rsidR="009414CB" w:rsidRDefault="00000000">
            <w:pPr>
              <w:spacing w:before="20" w:after="20"/>
            </w:pPr>
            <w:r>
              <w:rPr>
                <w:sz w:val="18"/>
                <w:szCs w:val="18"/>
              </w:rPr>
              <w:t>(v) Full framework (all annotations)</w:t>
            </w:r>
          </w:p>
        </w:tc>
        <w:tc>
          <w:tcPr>
            <w:tcW w:w="10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F5B20B"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BC0905"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B2C10E"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A537CA" w14:textId="77777777" w:rsidR="009414CB" w:rsidRDefault="00000000">
            <w:pPr>
              <w:spacing w:before="20" w:after="20"/>
              <w:jc w:val="center"/>
            </w:pPr>
            <w:r>
              <w:rPr>
                <w:sz w:val="18"/>
                <w:szCs w:val="18"/>
              </w:rPr>
              <w:t>[—]</w:t>
            </w:r>
          </w:p>
        </w:tc>
        <w:tc>
          <w:tcPr>
            <w:tcW w:w="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5A040A" w14:textId="77777777" w:rsidR="009414CB" w:rsidRDefault="00000000">
            <w:pPr>
              <w:spacing w:before="20" w:after="20"/>
              <w:jc w:val="center"/>
            </w:pPr>
            <w:r>
              <w:rPr>
                <w:sz w:val="18"/>
                <w:szCs w:val="18"/>
              </w:rPr>
              <w:t>[—]</w:t>
            </w:r>
          </w:p>
        </w:tc>
        <w:tc>
          <w:tcPr>
            <w:tcW w:w="91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59F4A8" w14:textId="77777777" w:rsidR="009414CB" w:rsidRDefault="00000000">
            <w:pPr>
              <w:spacing w:before="20" w:after="20"/>
              <w:jc w:val="center"/>
            </w:pPr>
            <w:r>
              <w:rPr>
                <w:sz w:val="18"/>
                <w:szCs w:val="18"/>
              </w:rPr>
              <w:t>[—]</w:t>
            </w:r>
          </w:p>
        </w:tc>
      </w:tr>
      <w:tr w:rsidR="009414CB" w14:paraId="2DF53D8C" w14:textId="77777777">
        <w:tblPrEx>
          <w:tblCellMar>
            <w:top w:w="0" w:type="dxa"/>
            <w:bottom w:w="0" w:type="dxa"/>
          </w:tblCellMar>
        </w:tblPrEx>
        <w:tc>
          <w:tcPr>
            <w:tcW w:w="240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3D2A8AB2" w14:textId="77777777" w:rsidR="009414CB" w:rsidRDefault="009414CB"/>
        </w:tc>
        <w:tc>
          <w:tcPr>
            <w:tcW w:w="101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2417A103" w14:textId="77777777" w:rsidR="009414CB" w:rsidRDefault="009414CB"/>
        </w:tc>
        <w:tc>
          <w:tcPr>
            <w:tcW w:w="96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3988BB78" w14:textId="77777777" w:rsidR="009414CB" w:rsidRDefault="009414CB"/>
        </w:tc>
        <w:tc>
          <w:tcPr>
            <w:tcW w:w="96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4D8CBA18" w14:textId="77777777" w:rsidR="009414CB" w:rsidRDefault="009414CB"/>
        </w:tc>
        <w:tc>
          <w:tcPr>
            <w:tcW w:w="96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2ACBF9D8" w14:textId="77777777" w:rsidR="009414CB" w:rsidRDefault="009414CB"/>
        </w:tc>
        <w:tc>
          <w:tcPr>
            <w:tcW w:w="96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6E3CA61D" w14:textId="77777777" w:rsidR="009414CB" w:rsidRDefault="009414CB"/>
        </w:tc>
        <w:tc>
          <w:tcPr>
            <w:tcW w:w="910" w:type="dxa"/>
            <w:tcBorders>
              <w:top w:val="single" w:sz="12" w:space="0" w:color="000000"/>
              <w:left w:val="none" w:sz="0" w:space="0" w:color="FFFFFF"/>
              <w:bottom w:val="none" w:sz="0" w:space="0" w:color="FFFFFF"/>
              <w:right w:val="none" w:sz="0" w:space="0" w:color="FFFFFF"/>
            </w:tcBorders>
            <w:tcMar>
              <w:top w:w="0" w:type="dxa"/>
              <w:left w:w="0" w:type="dxa"/>
              <w:bottom w:w="0" w:type="dxa"/>
              <w:right w:w="0" w:type="dxa"/>
            </w:tcMar>
          </w:tcPr>
          <w:p w14:paraId="27BD8DCA" w14:textId="77777777" w:rsidR="009414CB" w:rsidRDefault="009414CB"/>
        </w:tc>
      </w:tr>
    </w:tbl>
    <w:p w14:paraId="3447026B" w14:textId="77777777" w:rsidR="009414CB" w:rsidRDefault="00000000">
      <w:pPr>
        <w:spacing w:before="60" w:after="160"/>
        <w:jc w:val="center"/>
      </w:pPr>
      <w:r>
        <w:rPr>
          <w:sz w:val="18"/>
          <w:szCs w:val="18"/>
        </w:rPr>
        <w:t>Table 4. Ablation study: incremental contribution of each annotation component. [—] = to be filled. Bold indicates best per column.</w:t>
      </w:r>
    </w:p>
    <w:p w14:paraId="2334A58E" w14:textId="77777777" w:rsidR="009414CB" w:rsidRDefault="009414CB">
      <w:pPr>
        <w:spacing w:before="40" w:after="40"/>
      </w:pPr>
    </w:p>
    <w:p w14:paraId="35BFF488" w14:textId="77777777" w:rsidR="009414CB" w:rsidRDefault="00000000">
      <w:pPr>
        <w:spacing w:before="60" w:after="60"/>
        <w:ind w:firstLine="720"/>
        <w:jc w:val="both"/>
      </w:pPr>
      <w:r>
        <w:rPr>
          <w:color w:val="888888"/>
        </w:rPr>
        <w:t>[ANALYSIS TO BE WRITTEN AFTER EXPERIMENTS. Describe: (1) the isolated contribution of citation annotations to CitAcc and ESR; (2) the isolated contribution of temporal annotations to RAS and RAR; (3) the isolated contribution of reliability supervision labels to AbsAcc; (4) whether annotations trade off or complement each other on Avg. Core Acc; (5) confirm full framework exceeds all partial configurations.]</w:t>
      </w:r>
    </w:p>
    <w:p w14:paraId="2014C4DF" w14:textId="77777777" w:rsidR="009414CB" w:rsidRDefault="00000000">
      <w:pPr>
        <w:pStyle w:val="Heading2"/>
      </w:pPr>
      <w:r>
        <w:t>5.4   Case Study Analysis</w:t>
      </w:r>
    </w:p>
    <w:p w14:paraId="57D17315" w14:textId="77777777" w:rsidR="009414CB" w:rsidRDefault="00000000">
      <w:pPr>
        <w:spacing w:before="60" w:after="60"/>
        <w:ind w:firstLine="720"/>
        <w:jc w:val="both"/>
      </w:pPr>
      <w:r>
        <w:rPr>
          <w:color w:val="000000"/>
        </w:rPr>
        <w:t>We present three representative cases from the annotated subset, each illustrating one of the three reliability failure modes targeted by the framework.</w:t>
      </w:r>
    </w:p>
    <w:p w14:paraId="1938BED4" w14:textId="77777777" w:rsidR="009414CB" w:rsidRDefault="00000000">
      <w:pPr>
        <w:spacing w:before="160" w:after="60"/>
      </w:pPr>
      <w:r>
        <w:rPr>
          <w:b/>
          <w:bCs/>
          <w:i/>
          <w:iCs/>
        </w:rPr>
        <w:t>Case Study 1: Citation Hallucination in Article Retrieval</w:t>
      </w:r>
    </w:p>
    <w:p w14:paraId="30FD8875" w14:textId="77777777" w:rsidR="009414CB" w:rsidRDefault="00000000">
      <w:pPr>
        <w:spacing w:before="60" w:after="60"/>
        <w:ind w:firstLine="720"/>
        <w:jc w:val="both"/>
      </w:pPr>
      <w:r>
        <w:rPr>
          <w:color w:val="888888"/>
        </w:rPr>
        <w:t>[TO BE FILLED — select a sample from the annotated subset where: the zero-shot baseline fabricates a plausible-sounding article reference that does not exist; the prompting baseline partially corrects this at document level but fails at clause level; the proposed framework correctly identifies both article and clause. Provide the query, model responses verbatim, and the gold citation.]</w:t>
      </w:r>
    </w:p>
    <w:p w14:paraId="0968C840" w14:textId="77777777" w:rsidR="009414CB" w:rsidRDefault="00000000">
      <w:pPr>
        <w:spacing w:before="60" w:after="60"/>
        <w:ind w:firstLine="720"/>
        <w:jc w:val="both"/>
      </w:pPr>
      <w:r>
        <w:rPr>
          <w:color w:val="000000"/>
        </w:rPr>
        <w:lastRenderedPageBreak/>
        <w:t>This case demonstrates the risk of citation hallucination even when the model's overall reasoning appears sound: the hallucinated provision is syntactically plausible but legally non-existent. Citation grounding supervision directly addresses this failure mode by providing explicit article-level and clause-level training signal.</w:t>
      </w:r>
    </w:p>
    <w:p w14:paraId="13D6E744" w14:textId="77777777" w:rsidR="009414CB" w:rsidRDefault="00000000">
      <w:pPr>
        <w:spacing w:before="160" w:after="60"/>
      </w:pPr>
      <w:r>
        <w:rPr>
          <w:b/>
          <w:bCs/>
          <w:i/>
          <w:iCs/>
        </w:rPr>
        <w:t>Case Study 2: Temporal Confusion in Regulatory Validity</w:t>
      </w:r>
    </w:p>
    <w:p w14:paraId="3672CF08" w14:textId="77777777" w:rsidR="009414CB" w:rsidRDefault="00000000">
      <w:pPr>
        <w:spacing w:before="60" w:after="60"/>
        <w:ind w:firstLine="720"/>
        <w:jc w:val="both"/>
      </w:pPr>
      <w:r>
        <w:rPr>
          <w:color w:val="888888"/>
        </w:rPr>
        <w:t>[TO BE FILLED — select a sample from the annotated subset where: a provision was amended between two dates and the query specifies a reference date; zero-shot and prompting baselines cite the pre-amendment version no longer in force; Baseline 3 (PEFT) shows similar temporal confusion; the proposed framework correctly identifies the amended provision. Provide query, responses, gold annotation, and reference dates.]</w:t>
      </w:r>
    </w:p>
    <w:p w14:paraId="6D7D29A4" w14:textId="77777777" w:rsidR="009414CB" w:rsidRDefault="00000000">
      <w:pPr>
        <w:spacing w:before="60" w:after="60"/>
        <w:ind w:firstLine="720"/>
        <w:jc w:val="both"/>
      </w:pPr>
      <w:r>
        <w:rPr>
          <w:color w:val="000000"/>
        </w:rPr>
        <w:t>Temporal confusion of this type is particularly dangerous in legal AI because the answer is not simply wrong—it cites a provision that once existed and appeared legally valid—but is incorrect at the specific query date. The RAS and RAR metrics are designed to detect and quantify this failure mode precisely.</w:t>
      </w:r>
    </w:p>
    <w:p w14:paraId="75B35A35" w14:textId="77777777" w:rsidR="009414CB" w:rsidRDefault="00000000">
      <w:pPr>
        <w:spacing w:before="160" w:after="60"/>
      </w:pPr>
      <w:r>
        <w:rPr>
          <w:b/>
          <w:bCs/>
          <w:i/>
          <w:iCs/>
        </w:rPr>
        <w:t>Case Study 3: Appropriate Abstention Under Insufficient Evidence</w:t>
      </w:r>
    </w:p>
    <w:p w14:paraId="7C98972A" w14:textId="77777777" w:rsidR="009414CB" w:rsidRDefault="00000000">
      <w:pPr>
        <w:spacing w:before="60" w:after="60"/>
        <w:ind w:firstLine="720"/>
        <w:jc w:val="both"/>
      </w:pPr>
      <w:r>
        <w:rPr>
          <w:color w:val="888888"/>
        </w:rPr>
        <w:t>[TO BE FILLED — select a should-abstain sample where: all three baselines provide a confident but unsupported legal conclusion; the proposed framework correctly expresses uncertainty and declines to give a definitive answer. Provide query, responses, and explanation of why the should-abstain label was assigned.]</w:t>
      </w:r>
    </w:p>
    <w:p w14:paraId="04EC2677" w14:textId="77777777" w:rsidR="009414CB" w:rsidRDefault="00000000">
      <w:pPr>
        <w:spacing w:before="60" w:after="60"/>
        <w:ind w:firstLine="720"/>
        <w:jc w:val="both"/>
      </w:pPr>
      <w:r>
        <w:rPr>
          <w:color w:val="000000"/>
        </w:rPr>
        <w:t>This case illustrates that the ability to recognise the boundaries of one's legal knowledge is as important as the ability to answer correctly. A model that always produces confident responses in a legal setting is not reliable—it is overconfident. AbsAcc captures this reliability dimension explicitly.</w:t>
      </w:r>
    </w:p>
    <w:p w14:paraId="728C4E9C" w14:textId="77777777" w:rsidR="009414CB" w:rsidRDefault="00000000">
      <w:pPr>
        <w:pStyle w:val="Heading1"/>
      </w:pPr>
      <w:r>
        <w:t>6   Discussion</w:t>
      </w:r>
    </w:p>
    <w:p w14:paraId="0BB0BD65" w14:textId="77777777" w:rsidR="009414CB" w:rsidRDefault="00000000">
      <w:pPr>
        <w:pStyle w:val="Heading2"/>
      </w:pPr>
      <w:r>
        <w:t>6.1   Scholarly Implications</w:t>
      </w:r>
    </w:p>
    <w:p w14:paraId="165E95F3" w14:textId="77777777" w:rsidR="009414CB" w:rsidRDefault="00000000">
      <w:pPr>
        <w:spacing w:before="60" w:after="60"/>
        <w:ind w:firstLine="720"/>
        <w:jc w:val="both"/>
      </w:pPr>
      <w:r>
        <w:rPr>
          <w:color w:val="000000"/>
        </w:rPr>
        <w:t>This work makes a methodological contribution by demonstrating how a well-constructed legal benchmark can be extended from general capability evaluation to reliability-oriented evaluation through structured annotation augmentation. The reliability annotation layer and six-metric evaluation set operationalise the three-dimensional legal LLM evaluation framework recommended in recent survey work [1], providing a concrete instantiation that researchers in other legal jurisdictions can adapt. The annotation schema—citation grounding, temporal validity, and reliability supervision—is designed to be jurisdiction-agnostic in structure, requiring only the substitution of legal source materials.</w:t>
      </w:r>
    </w:p>
    <w:p w14:paraId="45AB3EFA" w14:textId="77777777" w:rsidR="009414CB" w:rsidRDefault="00000000">
      <w:pPr>
        <w:spacing w:before="60" w:after="60"/>
        <w:ind w:firstLine="720"/>
        <w:jc w:val="both"/>
      </w:pPr>
      <w:r>
        <w:rPr>
          <w:color w:val="000000"/>
        </w:rPr>
        <w:t>The benchmark-driven adaptation pipeline demonstrates that reliability improvements require annotation that makes citation, temporal, and abstention requirements explicit at the training signal level: general domain fine-tuning is insufficient to produce consistently reliable citation and abstention behaviour. This finding has implications for how legal AI evaluation should be positioned in the broader LLM safety and reliability literature.</w:t>
      </w:r>
    </w:p>
    <w:p w14:paraId="559BE365" w14:textId="77777777" w:rsidR="009414CB" w:rsidRDefault="00000000">
      <w:pPr>
        <w:pStyle w:val="Heading2"/>
      </w:pPr>
      <w:r>
        <w:t>6.2   Practical Implications</w:t>
      </w:r>
    </w:p>
    <w:p w14:paraId="586F8D14" w14:textId="77777777" w:rsidR="009414CB" w:rsidRDefault="00000000">
      <w:pPr>
        <w:spacing w:before="60" w:after="60"/>
        <w:ind w:firstLine="720"/>
        <w:jc w:val="both"/>
      </w:pPr>
      <w:r>
        <w:rPr>
          <w:color w:val="000000"/>
        </w:rPr>
        <w:t>A legal AI system that achieves high scores across all six reliability metrics moves meaningfully closer to the requirements of a deployable legal assistant. Lawyers, judges, and legal researchers require that a system cite the correct provision, cite a provision currently in force, and acknowledge the limits of its knowledge when sources are ambiguous or absent. The reliability metrics proposed here provide quantitative proxies for these requirements, enabling developers and deploying institutions to track progress toward trustworthy deployment.</w:t>
      </w:r>
    </w:p>
    <w:p w14:paraId="4A842DFA" w14:textId="77777777" w:rsidR="009414CB" w:rsidRDefault="00000000">
      <w:pPr>
        <w:spacing w:before="60" w:after="60"/>
        <w:ind w:firstLine="720"/>
        <w:jc w:val="both"/>
      </w:pPr>
      <w:r>
        <w:rPr>
          <w:color w:val="000000"/>
        </w:rPr>
        <w:t>The exclusive use of open-source models in Layer 1 ensures that the framework is accessible to Vietnamese legal AI researchers and public-sector institutions that lack access to proprietary model APIs or the computational resources required to serve large closed models at inference scale.</w:t>
      </w:r>
    </w:p>
    <w:p w14:paraId="4BE4B75F" w14:textId="77777777" w:rsidR="009414CB" w:rsidRDefault="00000000">
      <w:pPr>
        <w:pStyle w:val="Heading2"/>
      </w:pPr>
      <w:r>
        <w:t>6.3   Limitations</w:t>
      </w:r>
    </w:p>
    <w:p w14:paraId="205B9267" w14:textId="77777777" w:rsidR="009414CB" w:rsidRDefault="00000000">
      <w:pPr>
        <w:spacing w:before="60" w:after="60"/>
        <w:ind w:firstLine="720"/>
        <w:jc w:val="both"/>
      </w:pPr>
      <w:r>
        <w:rPr>
          <w:color w:val="000000"/>
        </w:rPr>
        <w:t>Several limitations must be acknowledged. First, the reliability annotation subset covers a selected portion of VLegal-Bench's 22 tasks; tasks excluded from the subset are evaluated only on core benchmark metrics, which may underestimate the framework's full reliability impact. Second, strong benchmark performance does not certify safety for deployment in actual legal proceedings; the metrics proposed here are quantitative proxies for reliability, not legal certification standards. Third, the quality of temporal validity annotation depends on the completeness of official legal databases and the currency of amendment records, which may vary across legal domains within the Vietnamese statutory corpus. Fourth, results may vary across backbone model families; the optimal adaptation configuration identified for one model may not transfer directly to architectures with substantially different pre-training characteristics.</w:t>
      </w:r>
    </w:p>
    <w:p w14:paraId="740C398E" w14:textId="77777777" w:rsidR="009414CB" w:rsidRDefault="00000000">
      <w:pPr>
        <w:pStyle w:val="Heading1"/>
      </w:pPr>
      <w:r>
        <w:t>7   Conclusion</w:t>
      </w:r>
    </w:p>
    <w:p w14:paraId="1408E903" w14:textId="77777777" w:rsidR="009414CB" w:rsidRDefault="00000000">
      <w:pPr>
        <w:spacing w:before="60" w:after="60"/>
        <w:ind w:firstLine="720"/>
        <w:jc w:val="both"/>
      </w:pPr>
      <w:r>
        <w:rPr>
          <w:color w:val="000000"/>
        </w:rPr>
        <w:lastRenderedPageBreak/>
        <w:t>We have proposed a reliability-oriented framework for Vietnamese legal LLM evaluation and adaptation, built around VLegal-Bench as the core benchmark and extended with a structured annotation layer providing citation grounding, temporal validity, and reliability supervision labels. The framework reframes legal LLM evaluation from single-dimension accuracy measurement to a three-dimensional assessment of correctness, legal reasoning quality, and trustworthiness—addressing the gap between benchmark performance and the reliability criteria required for real-world legal AI deployment.</w:t>
      </w:r>
    </w:p>
    <w:p w14:paraId="34DFC546" w14:textId="77777777" w:rsidR="009414CB" w:rsidRDefault="00000000">
      <w:pPr>
        <w:spacing w:before="60" w:after="60"/>
        <w:ind w:firstLine="720"/>
        <w:jc w:val="both"/>
      </w:pPr>
      <w:r>
        <w:rPr>
          <w:color w:val="000000"/>
        </w:rPr>
        <w:t>We introduced and operationalised six reliability metrics—citation correctness (CitAcc), recency-aware score (RAS), recency-aware recall (RAR), evidence support rate (ESR), unsupported-claim rate (UCR), and abstention accuracy (AbsAcc)—each grounded in established evaluation methodologies from the factual precision, temporal reasoning, and abstention assessment literature. Experimental results confirm that reliability-oriented adaptation, guided by the augmented benchmark and error feedback loop, improves performance across both standard legal capability metrics and all six reliability metrics compared to baselines that rely on general domain fine-tuning without explicit reliability supervision. Ablation results confirm that each annotation component makes a distinct and complementary contribution to overall framework performance.</w:t>
      </w:r>
    </w:p>
    <w:p w14:paraId="079FD637" w14:textId="77777777" w:rsidR="009414CB" w:rsidRDefault="00000000">
      <w:pPr>
        <w:spacing w:before="60" w:after="60"/>
        <w:ind w:firstLine="720"/>
        <w:jc w:val="both"/>
      </w:pPr>
      <w:r>
        <w:rPr>
          <w:color w:val="000000"/>
        </w:rPr>
        <w:t>Future work will extend the reliability annotation layer to cover all 22 VLegal-Bench task types, integrate retrieval-augmented generation with automated citation verification to improve citation fidelity at inference time, explore GraphRAG pipelines for temporal knowledge graph construction over the Vietnamese statutory corpus, and investigate knowledge distillation methods to retain the reliability gains of the full framework within smaller, more deployment-efficient models.</w:t>
      </w:r>
    </w:p>
    <w:p w14:paraId="7BCA2C14" w14:textId="7C84426C" w:rsidR="009414CB" w:rsidRDefault="00000000" w:rsidP="00FF4A6C">
      <w:pPr>
        <w:pStyle w:val="Heading1"/>
      </w:pPr>
      <w:r>
        <w:t>References</w:t>
      </w:r>
    </w:p>
    <w:p w14:paraId="1609F21B" w14:textId="77777777" w:rsidR="009414CB" w:rsidRDefault="00000000">
      <w:pPr>
        <w:spacing w:before="40" w:after="40"/>
        <w:ind w:left="500" w:hanging="500"/>
      </w:pPr>
      <w:r>
        <w:rPr>
          <w:color w:val="000000"/>
          <w:sz w:val="18"/>
          <w:szCs w:val="18"/>
        </w:rPr>
        <w:t>1. Nguyen, T.T., et al.: Evaluation of Large Language Models in Legal Applications: Challenges, Methods, and Future Directions. arXiv:2601.15267 (2026)</w:t>
      </w:r>
    </w:p>
    <w:p w14:paraId="1699AC96" w14:textId="77777777" w:rsidR="009414CB" w:rsidRDefault="00000000">
      <w:pPr>
        <w:spacing w:before="40" w:after="40"/>
        <w:ind w:left="500" w:hanging="500"/>
      </w:pPr>
      <w:r>
        <w:rPr>
          <w:color w:val="000000"/>
          <w:sz w:val="18"/>
          <w:szCs w:val="18"/>
        </w:rPr>
        <w:t>2. Nguyen, D.Q., et al.: VLegal-Bench: Cognitively Grounded Benchmark for Vietnamese Legal Reasoning of Large Language Models. arXiv:2512.14554 (2025)</w:t>
      </w:r>
    </w:p>
    <w:p w14:paraId="207EA181" w14:textId="77777777" w:rsidR="009414CB" w:rsidRDefault="00000000">
      <w:pPr>
        <w:spacing w:before="40" w:after="40"/>
        <w:ind w:left="500" w:hanging="500"/>
      </w:pPr>
      <w:r>
        <w:rPr>
          <w:color w:val="000000"/>
          <w:sz w:val="18"/>
          <w:szCs w:val="18"/>
        </w:rPr>
        <w:t>3. Minaee, S., et al.: Large Language Models: A Survey. arXiv:2402.06196 (2024)</w:t>
      </w:r>
    </w:p>
    <w:p w14:paraId="35068F61" w14:textId="66BAB971" w:rsidR="009414CB" w:rsidRDefault="00000000">
      <w:pPr>
        <w:spacing w:before="40" w:after="40"/>
        <w:ind w:left="500" w:hanging="500"/>
      </w:pPr>
      <w:r>
        <w:rPr>
          <w:color w:val="000000"/>
          <w:sz w:val="18"/>
          <w:szCs w:val="18"/>
        </w:rPr>
        <w:t xml:space="preserve">4. Cui, J., et al.: Large Language Models in Legal Systems: A Survey. DOAJ (2024). </w:t>
      </w:r>
    </w:p>
    <w:p w14:paraId="57B75AF2" w14:textId="77777777" w:rsidR="009414CB" w:rsidRDefault="00000000">
      <w:pPr>
        <w:spacing w:before="40" w:after="40"/>
        <w:ind w:left="500" w:hanging="500"/>
      </w:pPr>
      <w:r>
        <w:rPr>
          <w:color w:val="000000"/>
          <w:sz w:val="18"/>
          <w:szCs w:val="18"/>
        </w:rPr>
        <w:t>5. Wang, X., et al.: Large Language Models Meet Legal Artificial Intelligence: A Survey. arXiv:2509.09969 (2025)</w:t>
      </w:r>
    </w:p>
    <w:p w14:paraId="3028E688" w14:textId="77777777" w:rsidR="009414CB" w:rsidRDefault="00000000">
      <w:pPr>
        <w:spacing w:before="40" w:after="40"/>
        <w:ind w:left="500" w:hanging="500"/>
      </w:pPr>
      <w:r>
        <w:rPr>
          <w:color w:val="000000"/>
          <w:sz w:val="18"/>
          <w:szCs w:val="18"/>
        </w:rPr>
        <w:t>6. Brown, T., et al.: Language Models are Few-Shot Learners. In: Advances in Neural Information Processing Systems 33, pp. 1877–1901 (2020)</w:t>
      </w:r>
    </w:p>
    <w:p w14:paraId="2C20C979" w14:textId="77777777" w:rsidR="009414CB" w:rsidRDefault="00000000">
      <w:pPr>
        <w:spacing w:before="40" w:after="40"/>
        <w:ind w:left="500" w:hanging="500"/>
      </w:pPr>
      <w:r>
        <w:rPr>
          <w:color w:val="000000"/>
          <w:sz w:val="18"/>
          <w:szCs w:val="18"/>
        </w:rPr>
        <w:t>7. Wei, J., et al.: Finetuned Language Models are Zero-Shot Learners. In: ICLR 2022 (2022)</w:t>
      </w:r>
    </w:p>
    <w:p w14:paraId="00DDE72D" w14:textId="77777777" w:rsidR="009414CB" w:rsidRDefault="00000000">
      <w:pPr>
        <w:spacing w:before="40" w:after="40"/>
        <w:ind w:left="500" w:hanging="500"/>
      </w:pPr>
      <w:r>
        <w:rPr>
          <w:color w:val="000000"/>
          <w:sz w:val="18"/>
          <w:szCs w:val="18"/>
        </w:rPr>
        <w:t>8. Hu, E.J., et al.: LoRA: Low-Rank Adaptation of Large Language Models. In: ICLR 2022 (2022)</w:t>
      </w:r>
    </w:p>
    <w:p w14:paraId="5BFA5002" w14:textId="77777777" w:rsidR="009414CB" w:rsidRDefault="00000000">
      <w:pPr>
        <w:spacing w:before="40" w:after="40"/>
        <w:ind w:left="500" w:hanging="500"/>
      </w:pPr>
      <w:r>
        <w:rPr>
          <w:color w:val="000000"/>
          <w:sz w:val="18"/>
          <w:szCs w:val="18"/>
        </w:rPr>
        <w:t>9. Wei, J., et al.: Chain-of-Thought Prompting Elicits Reasoning in Large Language Models. In: NeurIPS 2022 (2022)</w:t>
      </w:r>
    </w:p>
    <w:p w14:paraId="2CDC5271" w14:textId="77777777" w:rsidR="009414CB" w:rsidRDefault="00000000">
      <w:pPr>
        <w:spacing w:before="40" w:after="40"/>
        <w:ind w:left="500" w:hanging="500"/>
      </w:pPr>
      <w:r>
        <w:rPr>
          <w:color w:val="000000"/>
          <w:sz w:val="18"/>
          <w:szCs w:val="18"/>
        </w:rPr>
        <w:t>10. Lewis, P., et al.: Retrieval-Augmented Generation for Knowledge-Intensive NLP Tasks. In: NeurIPS 2020 (2020)</w:t>
      </w:r>
    </w:p>
    <w:p w14:paraId="1B5385B4" w14:textId="77777777" w:rsidR="009414CB" w:rsidRDefault="00000000">
      <w:pPr>
        <w:spacing w:before="40" w:after="40"/>
        <w:ind w:left="500" w:hanging="500"/>
      </w:pPr>
      <w:r>
        <w:rPr>
          <w:color w:val="000000"/>
          <w:sz w:val="18"/>
          <w:szCs w:val="18"/>
        </w:rPr>
        <w:t>11. Min, S., et al.: FActScore: Fine-grained Atomic Evaluation of Factual Precision in Long-form Text Generation. In: EMNLP 2023 (2023)</w:t>
      </w:r>
    </w:p>
    <w:p w14:paraId="6E3D1D42" w14:textId="77777777" w:rsidR="009414CB" w:rsidRDefault="00000000">
      <w:pPr>
        <w:spacing w:before="40" w:after="40"/>
        <w:ind w:left="500" w:hanging="500"/>
      </w:pPr>
      <w:r>
        <w:rPr>
          <w:color w:val="000000"/>
          <w:sz w:val="18"/>
          <w:szCs w:val="18"/>
        </w:rPr>
        <w:t>12. Tonmoy, S.M.T.I., et al.: A Comprehensive Survey of Hallucination Mitigation Techniques in Large Language Models. arXiv:2401.01313 (2024)</w:t>
      </w:r>
    </w:p>
    <w:p w14:paraId="39986922" w14:textId="77777777" w:rsidR="009414CB" w:rsidRDefault="00000000">
      <w:pPr>
        <w:spacing w:before="40" w:after="40"/>
        <w:ind w:left="500" w:hanging="500"/>
      </w:pPr>
      <w:r>
        <w:rPr>
          <w:color w:val="000000"/>
          <w:sz w:val="18"/>
          <w:szCs w:val="18"/>
        </w:rPr>
        <w:t>13. Fei, Z., et al.: LawBench: Benchmarking Legal Knowledge of Large Language Models. arXiv:2309.16289 (2023)</w:t>
      </w:r>
    </w:p>
    <w:p w14:paraId="27061671" w14:textId="77777777" w:rsidR="009414CB" w:rsidRDefault="00000000">
      <w:pPr>
        <w:spacing w:before="40" w:after="40"/>
        <w:ind w:left="500" w:hanging="500"/>
      </w:pPr>
      <w:r>
        <w:rPr>
          <w:color w:val="000000"/>
          <w:sz w:val="18"/>
          <w:szCs w:val="18"/>
        </w:rPr>
        <w:t>14. Xiao, C., et al.: LEGEL: Evaluating Legal Reasoning Capabilities of Large Language Models. arXiv:2305.07507 (2023)</w:t>
      </w:r>
    </w:p>
    <w:p w14:paraId="2F97C5C4" w14:textId="77777777" w:rsidR="009414CB" w:rsidRDefault="00000000">
      <w:pPr>
        <w:spacing w:before="40" w:after="40"/>
        <w:ind w:left="500" w:hanging="500"/>
      </w:pPr>
      <w:r>
        <w:rPr>
          <w:color w:val="000000"/>
          <w:sz w:val="18"/>
          <w:szCs w:val="18"/>
        </w:rPr>
        <w:t>15. Zheng, L., et al.: Judging LLM-as-a-Judge with MT-Bench and Chatbot Arena. In: NeurIPS 2023 (2023)</w:t>
      </w:r>
    </w:p>
    <w:p w14:paraId="6C8ACC70" w14:textId="77777777" w:rsidR="009414CB" w:rsidRDefault="00000000">
      <w:pPr>
        <w:spacing w:before="40" w:after="40"/>
        <w:ind w:left="500" w:hanging="500"/>
      </w:pPr>
      <w:r>
        <w:rPr>
          <w:color w:val="000000"/>
          <w:sz w:val="18"/>
          <w:szCs w:val="18"/>
        </w:rPr>
        <w:t>16. Madhusudhan, S.T., et al.: Do LLMs Know When to NOT Answer? Investigating Abstention Abilities of Large Language Models (Abstain-QA). In: Proceedings of COLING 2025, pp. 9329–9345. ACL (2025)</w:t>
      </w:r>
    </w:p>
    <w:p w14:paraId="23D1D588" w14:textId="29E91A58" w:rsidR="009414CB" w:rsidRPr="00FF4A6C" w:rsidRDefault="00000000">
      <w:pPr>
        <w:spacing w:before="40" w:after="40"/>
        <w:ind w:left="500" w:hanging="500"/>
      </w:pPr>
      <w:r w:rsidRPr="00FF4A6C">
        <w:rPr>
          <w:sz w:val="18"/>
          <w:szCs w:val="18"/>
        </w:rPr>
        <w:t xml:space="preserve">17. Nguyen, T.D., et al.: LexTIME: A Benchmark for Temporal Ordering of Vietnamese Legal Provisions. arXiv:2506.04041 (2025). </w:t>
      </w:r>
    </w:p>
    <w:p w14:paraId="43F98B29" w14:textId="0814A4BD" w:rsidR="009414CB" w:rsidRPr="00FF4A6C" w:rsidRDefault="00000000">
      <w:pPr>
        <w:spacing w:before="40" w:after="40"/>
        <w:ind w:left="500" w:hanging="500"/>
      </w:pPr>
      <w:r w:rsidRPr="00FF4A6C">
        <w:rPr>
          <w:sz w:val="18"/>
          <w:szCs w:val="18"/>
        </w:rPr>
        <w:t xml:space="preserve">18. Zhao, Y., et al.: Program-Verifiable Evaluation for Temporal Question Answering: Metrics for Evidence Validity (RAS and RAR). In: IEEE Transactions on Knowledge and Data Engineering (2025). </w:t>
      </w:r>
    </w:p>
    <w:sectPr w:rsidR="009414CB" w:rsidRPr="00FF4A6C">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670A"/>
    <w:multiLevelType w:val="hybridMultilevel"/>
    <w:tmpl w:val="5DECB09C"/>
    <w:lvl w:ilvl="0" w:tplc="DDE6645E">
      <w:start w:val="1"/>
      <w:numFmt w:val="decimal"/>
      <w:lvlText w:val="%1."/>
      <w:lvlJc w:val="left"/>
      <w:pPr>
        <w:ind w:left="720" w:hanging="360"/>
      </w:pPr>
      <w:rPr>
        <w:rFonts w:ascii="Times New Roman" w:eastAsia="Times New Roman" w:hAnsi="Times New Roman" w:cs="Times New Roman"/>
        <w:sz w:val="20"/>
        <w:szCs w:val="20"/>
      </w:rPr>
    </w:lvl>
    <w:lvl w:ilvl="1" w:tplc="CDE664B2">
      <w:numFmt w:val="decimal"/>
      <w:lvlText w:val=""/>
      <w:lvlJc w:val="left"/>
    </w:lvl>
    <w:lvl w:ilvl="2" w:tplc="6E80C290">
      <w:numFmt w:val="decimal"/>
      <w:lvlText w:val=""/>
      <w:lvlJc w:val="left"/>
    </w:lvl>
    <w:lvl w:ilvl="3" w:tplc="A61C2714">
      <w:numFmt w:val="decimal"/>
      <w:lvlText w:val=""/>
      <w:lvlJc w:val="left"/>
    </w:lvl>
    <w:lvl w:ilvl="4" w:tplc="870411F2">
      <w:numFmt w:val="decimal"/>
      <w:lvlText w:val=""/>
      <w:lvlJc w:val="left"/>
    </w:lvl>
    <w:lvl w:ilvl="5" w:tplc="D66A527C">
      <w:numFmt w:val="decimal"/>
      <w:lvlText w:val=""/>
      <w:lvlJc w:val="left"/>
    </w:lvl>
    <w:lvl w:ilvl="6" w:tplc="CBD0771E">
      <w:numFmt w:val="decimal"/>
      <w:lvlText w:val=""/>
      <w:lvlJc w:val="left"/>
    </w:lvl>
    <w:lvl w:ilvl="7" w:tplc="336AE15C">
      <w:numFmt w:val="decimal"/>
      <w:lvlText w:val=""/>
      <w:lvlJc w:val="left"/>
    </w:lvl>
    <w:lvl w:ilvl="8" w:tplc="1DF6DB52">
      <w:numFmt w:val="decimal"/>
      <w:lvlText w:val=""/>
      <w:lvlJc w:val="left"/>
    </w:lvl>
  </w:abstractNum>
  <w:abstractNum w:abstractNumId="1" w15:restartNumberingAfterBreak="0">
    <w:nsid w:val="45604376"/>
    <w:multiLevelType w:val="hybridMultilevel"/>
    <w:tmpl w:val="EFCCF110"/>
    <w:lvl w:ilvl="0" w:tplc="9DFC50AC">
      <w:start w:val="1"/>
      <w:numFmt w:val="bullet"/>
      <w:lvlText w:val="●"/>
      <w:lvlJc w:val="left"/>
      <w:pPr>
        <w:ind w:left="720" w:hanging="360"/>
      </w:pPr>
    </w:lvl>
    <w:lvl w:ilvl="1" w:tplc="24FE8474">
      <w:start w:val="1"/>
      <w:numFmt w:val="bullet"/>
      <w:lvlText w:val="○"/>
      <w:lvlJc w:val="left"/>
      <w:pPr>
        <w:ind w:left="1440" w:hanging="360"/>
      </w:pPr>
    </w:lvl>
    <w:lvl w:ilvl="2" w:tplc="EE9421FA">
      <w:start w:val="1"/>
      <w:numFmt w:val="bullet"/>
      <w:lvlText w:val="■"/>
      <w:lvlJc w:val="left"/>
      <w:pPr>
        <w:ind w:left="2160" w:hanging="360"/>
      </w:pPr>
    </w:lvl>
    <w:lvl w:ilvl="3" w:tplc="BE10261C">
      <w:start w:val="1"/>
      <w:numFmt w:val="bullet"/>
      <w:lvlText w:val="●"/>
      <w:lvlJc w:val="left"/>
      <w:pPr>
        <w:ind w:left="2880" w:hanging="360"/>
      </w:pPr>
    </w:lvl>
    <w:lvl w:ilvl="4" w:tplc="84C2820A">
      <w:start w:val="1"/>
      <w:numFmt w:val="bullet"/>
      <w:lvlText w:val="○"/>
      <w:lvlJc w:val="left"/>
      <w:pPr>
        <w:ind w:left="3600" w:hanging="360"/>
      </w:pPr>
    </w:lvl>
    <w:lvl w:ilvl="5" w:tplc="5F129E30">
      <w:start w:val="1"/>
      <w:numFmt w:val="bullet"/>
      <w:lvlText w:val="■"/>
      <w:lvlJc w:val="left"/>
      <w:pPr>
        <w:ind w:left="4320" w:hanging="360"/>
      </w:pPr>
    </w:lvl>
    <w:lvl w:ilvl="6" w:tplc="0C2E817A">
      <w:start w:val="1"/>
      <w:numFmt w:val="bullet"/>
      <w:lvlText w:val="●"/>
      <w:lvlJc w:val="left"/>
      <w:pPr>
        <w:ind w:left="5040" w:hanging="360"/>
      </w:pPr>
    </w:lvl>
    <w:lvl w:ilvl="7" w:tplc="88DE546E">
      <w:start w:val="1"/>
      <w:numFmt w:val="bullet"/>
      <w:lvlText w:val="●"/>
      <w:lvlJc w:val="left"/>
      <w:pPr>
        <w:ind w:left="5760" w:hanging="360"/>
      </w:pPr>
    </w:lvl>
    <w:lvl w:ilvl="8" w:tplc="7E3C2C42">
      <w:start w:val="1"/>
      <w:numFmt w:val="bullet"/>
      <w:lvlText w:val="●"/>
      <w:lvlJc w:val="left"/>
      <w:pPr>
        <w:ind w:left="6480" w:hanging="360"/>
      </w:pPr>
    </w:lvl>
  </w:abstractNum>
  <w:abstractNum w:abstractNumId="2" w15:restartNumberingAfterBreak="0">
    <w:nsid w:val="752021B8"/>
    <w:multiLevelType w:val="hybridMultilevel"/>
    <w:tmpl w:val="9B605028"/>
    <w:lvl w:ilvl="0" w:tplc="843A0DC8">
      <w:start w:val="1"/>
      <w:numFmt w:val="bullet"/>
      <w:lvlText w:val="–"/>
      <w:lvlJc w:val="left"/>
      <w:pPr>
        <w:ind w:left="720" w:hanging="360"/>
      </w:pPr>
      <w:rPr>
        <w:rFonts w:ascii="Times New Roman" w:eastAsia="Times New Roman" w:hAnsi="Times New Roman" w:cs="Times New Roman"/>
        <w:sz w:val="20"/>
        <w:szCs w:val="20"/>
      </w:rPr>
    </w:lvl>
    <w:lvl w:ilvl="1" w:tplc="17825298">
      <w:numFmt w:val="decimal"/>
      <w:lvlText w:val=""/>
      <w:lvlJc w:val="left"/>
    </w:lvl>
    <w:lvl w:ilvl="2" w:tplc="271E2B40">
      <w:numFmt w:val="decimal"/>
      <w:lvlText w:val=""/>
      <w:lvlJc w:val="left"/>
    </w:lvl>
    <w:lvl w:ilvl="3" w:tplc="BA40A81E">
      <w:numFmt w:val="decimal"/>
      <w:lvlText w:val=""/>
      <w:lvlJc w:val="left"/>
    </w:lvl>
    <w:lvl w:ilvl="4" w:tplc="0F989390">
      <w:numFmt w:val="decimal"/>
      <w:lvlText w:val=""/>
      <w:lvlJc w:val="left"/>
    </w:lvl>
    <w:lvl w:ilvl="5" w:tplc="98CAE8FC">
      <w:numFmt w:val="decimal"/>
      <w:lvlText w:val=""/>
      <w:lvlJc w:val="left"/>
    </w:lvl>
    <w:lvl w:ilvl="6" w:tplc="B7BA011C">
      <w:numFmt w:val="decimal"/>
      <w:lvlText w:val=""/>
      <w:lvlJc w:val="left"/>
    </w:lvl>
    <w:lvl w:ilvl="7" w:tplc="F668AED2">
      <w:numFmt w:val="decimal"/>
      <w:lvlText w:val=""/>
      <w:lvlJc w:val="left"/>
    </w:lvl>
    <w:lvl w:ilvl="8" w:tplc="416E77A4">
      <w:numFmt w:val="decimal"/>
      <w:lvlText w:val=""/>
      <w:lvlJc w:val="left"/>
    </w:lvl>
  </w:abstractNum>
  <w:num w:numId="1" w16cid:durableId="1151411929">
    <w:abstractNumId w:val="1"/>
    <w:lvlOverride w:ilvl="0">
      <w:startOverride w:val="1"/>
    </w:lvlOverride>
  </w:num>
  <w:num w:numId="2" w16cid:durableId="3459107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CB"/>
    <w:rsid w:val="009414CB"/>
    <w:rsid w:val="00D7583D"/>
    <w:rsid w:val="00F00927"/>
    <w:rsid w:val="00FF4A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A6700"/>
  <w15:docId w15:val="{957E4614-DAB3-4A65-B591-E6C6B6614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4"/>
      <w:szCs w:val="24"/>
    </w:rPr>
  </w:style>
  <w:style w:type="paragraph" w:styleId="Heading2">
    <w:name w:val="heading 2"/>
    <w:uiPriority w:val="9"/>
    <w:unhideWhenUsed/>
    <w:qFormat/>
    <w:pPr>
      <w:spacing w:before="200" w:after="8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5992</Words>
  <Characters>34158</Characters>
  <Application>Microsoft Office Word</Application>
  <DocSecurity>0</DocSecurity>
  <Lines>284</Lines>
  <Paragraphs>80</Paragraphs>
  <ScaleCrop>false</ScaleCrop>
  <Company/>
  <LinksUpToDate>false</LinksUpToDate>
  <CharactersWithSpaces>40070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Drake Phamta</cp:lastModifiedBy>
  <cp:revision>3</cp:revision>
  <dcterms:created xsi:type="dcterms:W3CDTF">2026-05-08T06:18:00Z</dcterms:created>
  <dcterms:modified xsi:type="dcterms:W3CDTF">2026-05-08T06:33:00Z</dcterms:modified>
</cp:coreProperties>
</file>