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center"/>
      </w:pPr>
      <w:r>
        <w:rPr>
          <w:rFonts w:ascii="Aptos Display" w:hAnsi="Aptos Display"/>
          <w:b/>
          <w:color w:val="2F5597"/>
          <w:sz w:val="36"/>
        </w:rPr>
        <w:t>ORACLE CORPORATION</w:t>
      </w:r>
    </w:p>
    <w:p>
      <w:pPr>
        <w:pStyle w:val="Title"/>
        <w:jc w:val="center"/>
      </w:pPr>
      <w:r>
        <w:t>Eight-Quarter Operating Forecast</w:t>
        <w:br/>
        <w:t>and Quarterly Valuation Framework</w:t>
      </w:r>
    </w:p>
    <w:p>
      <w:pPr>
        <w:pStyle w:val="Subtitle"/>
        <w:jc w:val="center"/>
      </w:pPr>
      <w:r>
        <w:t>Equity-research foundation for FY27 Q1 through FY28 Q4</w:t>
      </w:r>
    </w:p>
    <w:p>
      <w:pPr>
        <w:spacing w:before="60" w:after="120"/>
        <w:pBdr>
          <w:bottom w:val="single" w:sz="8" w:space="1" w:color="B4C6E7"/>
        </w:pBdr>
      </w:pPr>
    </w:p>
    <w:p>
      <w:pPr>
        <w:spacing w:before="360"/>
        <w:jc w:val="center"/>
      </w:pPr>
      <w:r>
        <w:rPr>
          <w:b/>
          <w:color w:val="1F2937"/>
          <w:sz w:val="22"/>
        </w:rPr>
        <w:t>Research date: July 20, 2026</w:t>
      </w:r>
    </w:p>
    <w:p>
      <w:pPr>
        <w:jc w:val="center"/>
      </w:pPr>
      <w:r>
        <w:rPr>
          <w:color w:val="6B7280"/>
          <w:sz w:val="20"/>
        </w:rPr>
        <w:t>First intended valuation date: FY27 Q1 earnings</w:t>
      </w:r>
    </w:p>
    <w:p>
      <w:pPr>
        <w:spacing w:before="1700"/>
        <w:jc w:val="center"/>
      </w:pPr>
      <w:r>
        <w:rPr>
          <w:b/>
          <w:color w:val="17365D"/>
          <w:sz w:val="20"/>
        </w:rPr>
        <w:t>Purpose</w:t>
      </w:r>
    </w:p>
    <w:p>
      <w:pPr>
        <w:ind w:left="1584" w:right="1584"/>
        <w:jc w:val="center"/>
      </w:pPr>
      <w:r>
        <w:t>Define the revenue architecture, operating drivers, capital requirements, scenario assumptions and valuation logic needed before constructing a quarterly Oracle model.</w:t>
      </w:r>
    </w:p>
    <w:p>
      <w:r>
        <w:br w:type="page"/>
      </w:r>
    </w:p>
    <w:p>
      <w:pPr>
        <w:pStyle w:val="Heading1"/>
      </w:pPr>
      <w:r>
        <w:t>Contents</w:t>
      </w:r>
    </w:p>
    <w:p>
      <w:pPr>
        <w:spacing w:after="60"/>
      </w:pPr>
      <w:r>
        <w:rPr>
          <w:b/>
          <w:sz w:val="20"/>
        </w:rPr>
        <w:t>Executive conclusions</w:t>
      </w:r>
    </w:p>
    <w:p>
      <w:pPr>
        <w:spacing w:after="60"/>
      </w:pPr>
      <w:r>
        <w:rPr>
          <w:sz w:val="20"/>
        </w:rPr>
        <w:t>1. Correct revenue architecture</w:t>
      </w:r>
    </w:p>
    <w:p>
      <w:pPr>
        <w:spacing w:after="60"/>
      </w:pPr>
      <w:r>
        <w:rPr>
          <w:sz w:val="20"/>
        </w:rPr>
        <w:t>2. Minimum operating drivers</w:t>
      </w:r>
    </w:p>
    <w:p>
      <w:pPr>
        <w:spacing w:after="60"/>
      </w:pPr>
      <w:r>
        <w:rPr>
          <w:sz w:val="20"/>
        </w:rPr>
        <w:t>3. Quarterly seasonality</w:t>
      </w:r>
    </w:p>
    <w:p>
      <w:pPr>
        <w:spacing w:after="60"/>
      </w:pPr>
      <w:r>
        <w:rPr>
          <w:sz w:val="20"/>
        </w:rPr>
        <w:t>4. FY27 guidance feasibility</w:t>
      </w:r>
    </w:p>
    <w:p>
      <w:pPr>
        <w:spacing w:after="60"/>
      </w:pPr>
      <w:r>
        <w:rPr>
          <w:sz w:val="20"/>
        </w:rPr>
        <w:t>5. RPO, capacity, revenue and capital structure</w:t>
      </w:r>
    </w:p>
    <w:p>
      <w:pPr>
        <w:spacing w:after="60"/>
      </w:pPr>
      <w:r>
        <w:rPr>
          <w:sz w:val="20"/>
        </w:rPr>
        <w:t>6. Comparable-company framework</w:t>
      </w:r>
    </w:p>
    <w:p>
      <w:pPr>
        <w:spacing w:after="60"/>
      </w:pPr>
      <w:r>
        <w:rPr>
          <w:sz w:val="20"/>
        </w:rPr>
        <w:t>7. Recommended valuation methodology</w:t>
      </w:r>
    </w:p>
    <w:p>
      <w:pPr>
        <w:spacing w:after="60"/>
      </w:pPr>
      <w:r>
        <w:rPr>
          <w:sz w:val="20"/>
        </w:rPr>
        <w:t>8. Recommended multiple framework</w:t>
      </w:r>
    </w:p>
    <w:p>
      <w:pPr>
        <w:spacing w:after="60"/>
      </w:pPr>
      <w:r>
        <w:rPr>
          <w:sz w:val="20"/>
        </w:rPr>
        <w:t>9. Operationally distinct scenarios</w:t>
      </w:r>
    </w:p>
    <w:p>
      <w:pPr>
        <w:spacing w:after="60"/>
      </w:pPr>
      <w:r>
        <w:rPr>
          <w:sz w:val="20"/>
        </w:rPr>
        <w:t>10. Recommended scenario assumptions</w:t>
      </w:r>
    </w:p>
    <w:p>
      <w:pPr>
        <w:spacing w:after="60"/>
      </w:pPr>
      <w:r>
        <w:rPr>
          <w:sz w:val="20"/>
        </w:rPr>
        <w:t>11. Market consensus</w:t>
      </w:r>
    </w:p>
    <w:p>
      <w:pPr>
        <w:spacing w:after="60"/>
      </w:pPr>
      <w:r>
        <w:rPr>
          <w:sz w:val="20"/>
        </w:rPr>
        <w:t>12. Multiple expansion and contraction milestones</w:t>
      </w:r>
    </w:p>
    <w:p>
      <w:pPr>
        <w:spacing w:after="60"/>
      </w:pPr>
      <w:r>
        <w:rPr>
          <w:sz w:val="20"/>
        </w:rPr>
        <w:t>13. Eight-quarter model structure</w:t>
      </w:r>
    </w:p>
    <w:p>
      <w:pPr>
        <w:spacing w:after="60"/>
      </w:pPr>
      <w:r>
        <w:rPr>
          <w:sz w:val="20"/>
        </w:rPr>
        <w:t>14. Valuation dates and NTM periods</w:t>
      </w:r>
    </w:p>
    <w:p>
      <w:pPr>
        <w:spacing w:after="60"/>
      </w:pPr>
      <w:r>
        <w:rPr>
          <w:sz w:val="20"/>
        </w:rPr>
        <w:t>15. Enterprise-to-equity formulas</w:t>
      </w:r>
    </w:p>
    <w:p>
      <w:pPr>
        <w:spacing w:after="60"/>
      </w:pPr>
      <w:r>
        <w:rPr>
          <w:sz w:val="20"/>
        </w:rPr>
        <w:t>16. Unresolved questions</w:t>
      </w:r>
    </w:p>
    <w:p>
      <w:pPr>
        <w:spacing w:after="60"/>
      </w:pPr>
      <w:r>
        <w:rPr>
          <w:sz w:val="20"/>
        </w:rPr>
        <w:t>Source list</w:t>
      </w:r>
    </w:p>
    <w:p>
      <w:pPr>
        <w:pStyle w:val="Heading2"/>
      </w:pPr>
      <w:r>
        <w:t>Evidence labels</w:t>
      </w:r>
    </w:p>
    <w:p>
      <w:r>
        <w:rPr>
          <w:b/>
          <w:color w:val="2F6B4F"/>
        </w:rPr>
        <w:t xml:space="preserve">Reported fact: </w:t>
      </w:r>
      <w:r>
        <w:t>Disclosed in SEC filings or official company materials.</w:t>
      </w:r>
    </w:p>
    <w:p>
      <w:r>
        <w:rPr>
          <w:b/>
          <w:color w:val="2F5597"/>
        </w:rPr>
        <w:t xml:space="preserve">Management guidance: </w:t>
      </w:r>
      <w:r>
        <w:t>Forward-looking statement communicated by Oracle.</w:t>
      </w:r>
    </w:p>
    <w:p>
      <w:r>
        <w:rPr>
          <w:b/>
          <w:color w:val="9A6700"/>
        </w:rPr>
        <w:t xml:space="preserve">Market consensus: </w:t>
      </w:r>
      <w:r>
        <w:t>Publicly available analyst aggregation or market-data estimate.</w:t>
      </w:r>
    </w:p>
    <w:p>
      <w:r>
        <w:rPr>
          <w:b/>
          <w:color w:val="9C2F2F"/>
        </w:rPr>
        <w:t xml:space="preserve">Analytical assumption: </w:t>
      </w:r>
      <w:r>
        <w:t>Recommended forecast input for the model.</w:t>
      </w:r>
    </w:p>
    <w:p>
      <w:r>
        <w:rPr>
          <w:b/>
          <w:color w:val="17365D"/>
        </w:rPr>
        <w:t xml:space="preserve">Inference: </w:t>
      </w:r>
      <w:r>
        <w:t>Conclusion derived from reported information and operating logic.</w:t>
      </w:r>
    </w:p>
    <w:p>
      <w:r>
        <w:br w:type="page"/>
      </w:r>
    </w:p>
    <w:p>
      <w:pPr>
        <w:pStyle w:val="Heading1"/>
      </w:pPr>
      <w:r>
        <w:t>Executive conclusions</w:t>
      </w:r>
    </w:p>
    <w:p>
      <w:pPr>
        <w:pStyle w:val="ExecutiveBullet"/>
      </w:pPr>
      <w:r>
        <w:rPr>
          <w:b/>
        </w:rPr>
        <w:t xml:space="preserve">• </w:t>
      </w:r>
      <w:r>
        <w:t>Oracle should be modeled as six economically distinct revenue streams: OCI, cloud applications, software support, software licenses, hardware and services. OCI and cloud applications must be separated even though Oracle reports them together within cloud services and license support.</w:t>
      </w:r>
    </w:p>
    <w:p>
      <w:pPr>
        <w:pStyle w:val="ExecutiveBullet"/>
      </w:pPr>
      <w:r>
        <w:rPr>
          <w:b/>
        </w:rPr>
        <w:t xml:space="preserve">• </w:t>
      </w:r>
      <w:r>
        <w:t>The OCI forecast should be capacity-based rather than growth-rate-based. Signed demand is not presently Oracle’s principal constraint. Data-center availability, power, GPU delivery, construction timing, customer readiness and utilization are the core conversion variables.</w:t>
      </w:r>
    </w:p>
    <w:p>
      <w:pPr>
        <w:pStyle w:val="ExecutiveBullet"/>
      </w:pPr>
      <w:r>
        <w:rPr>
          <w:b/>
        </w:rPr>
        <w:t xml:space="preserve">• </w:t>
      </w:r>
      <w:r>
        <w:t>Oracle’s FY27 revenue guidance implies extraordinary OCI acceleration. Total revenue of $90 billion represents 33.6% growth from FY26. A defensible bridge suggests OCI revenue must reach approximately $38.5 billion to $39.5 billion unless non-OCI businesses accelerate materially.</w:t>
      </w:r>
    </w:p>
    <w:p>
      <w:pPr>
        <w:pStyle w:val="ExecutiveBullet"/>
      </w:pPr>
      <w:r>
        <w:rPr>
          <w:b/>
        </w:rPr>
        <w:t xml:space="preserve">• </w:t>
      </w:r>
      <w:r>
        <w:t>RPO is a demand indicator, not a revenue forecast. Oracle’s $638 billion RPO provides unusual long-term visibility, but revenue recognition still depends on capacity availability, service commencement, contractual terms and usage.</w:t>
      </w:r>
    </w:p>
    <w:p>
      <w:pPr>
        <w:pStyle w:val="ExecutiveBullet"/>
      </w:pPr>
      <w:r>
        <w:rPr>
          <w:b/>
        </w:rPr>
        <w:t xml:space="preserve">• </w:t>
      </w:r>
      <w:r>
        <w:t>The margin question is more important than the revenue question. The central issue is whether infrastructure gross margins, depreciation, financing costs and dilution allow OCI growth to create acceptable returns for common shareholders.</w:t>
      </w:r>
    </w:p>
    <w:p>
      <w:pPr>
        <w:pStyle w:val="ExecutiveBullet"/>
      </w:pPr>
      <w:r>
        <w:rPr>
          <w:b/>
        </w:rPr>
        <w:t xml:space="preserve">• </w:t>
      </w:r>
      <w:r>
        <w:t>Reported capex is not the same as Oracle-funded capex. The model must separately track gross capex, customer prepayments, customer-supplied hardware, short-term capex financing, operating leases and Oracle’s net cash expenditure.</w:t>
      </w:r>
    </w:p>
    <w:p>
      <w:pPr>
        <w:pStyle w:val="ExecutiveBullet"/>
      </w:pPr>
      <w:r>
        <w:rPr>
          <w:b/>
        </w:rPr>
        <w:t xml:space="preserve">• </w:t>
      </w:r>
      <w:r>
        <w:t>EV/NTM EBITDA is the most practical primary quarterly valuation method, but it must be controlled by a shadow sum-of-the-parts valuation, P/NTM EPS cross-check and capital-adjusted free-cash-flow analysis.</w:t>
      </w:r>
    </w:p>
    <w:p>
      <w:pPr>
        <w:pStyle w:val="ExecutiveBullet"/>
      </w:pPr>
      <w:r>
        <w:rPr>
          <w:b/>
        </w:rPr>
        <w:t xml:space="preserve">• </w:t>
      </w:r>
      <w:r>
        <w:t>Oracle should trade at a discount to hyperscalers until it demonstrates comparable execution and financing durability. OCI growth can justify a premium, but leverage, customer concentration, capital intensity, negative free cash flow, lease commitments and execution risk warrant offsets.</w:t>
      </w:r>
    </w:p>
    <w:tbl>
      <w:tblPr>
        <w:tblW w:type="auto" w:w="0"/>
        <w:jc w:val="center"/>
        <w:tblLook w:firstColumn="1" w:firstRow="1" w:lastColumn="0" w:lastRow="0" w:noHBand="0" w:noVBand="1" w:val="04A0"/>
      </w:tblPr>
      <w:tblGrid>
        <w:gridCol w:w="10166"/>
      </w:tblGrid>
      <w:tr>
        <w:trPr>
          <w:cantSplit/>
        </w:trPr>
        <w:tc>
          <w:tcPr>
            <w:tcW w:type="dxa" w:w="10166"/>
            <w:shd w:fill="E8F0FA"/>
            <w:tcBorders>
              <w:top w:val="single" w:sz="10" w:color="2F5597"/>
              <w:left w:val="single" w:sz="10" w:color="2F5597"/>
              <w:bottom w:val="single" w:sz="10" w:color="2F5597"/>
              <w:right w:val="single" w:sz="10" w:color="2F5597"/>
            </w:tcBorders>
          </w:tcPr>
          <w:p>
            <w:pPr>
              <w:spacing w:after="60"/>
            </w:pPr>
            <w:r>
              <w:rPr>
                <w:b/>
                <w:color w:val="17365D"/>
                <w:sz w:val="20"/>
              </w:rPr>
              <w:t>Central modeling question</w:t>
            </w:r>
          </w:p>
          <w:p>
            <w:pPr>
              <w:spacing w:after="20"/>
            </w:pPr>
            <w:r>
              <w:rPr>
                <w:sz w:val="18"/>
              </w:rPr>
              <w:t>How much durable common-equity value will Oracle create after paying for capacity, depreciation, leases, interest, preferred dividends and common-share dilution?</w:t>
            </w:r>
          </w:p>
        </w:tc>
      </w:tr>
    </w:tbl>
    <w:p>
      <w:pPr>
        <w:spacing w:after="20"/>
      </w:pPr>
    </w:p>
    <w:p>
      <w:pPr>
        <w:pStyle w:val="Heading1"/>
      </w:pPr>
      <w:r>
        <w:t>1. Correct revenue architecture</w:t>
      </w:r>
    </w:p>
    <w:p>
      <w:r>
        <w:t>Oracle reports revenue in four principal categories: cloud services and license support; cloud license and on-premise license; hardware; and services. For forecasting, the first reported category must be divided into OCI, cloud applications and software support.</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cantSplit/>
        </w:trPr>
        <w:tc>
          <w:tcPr>
            <w:tcW w:type="dxa" w:w="1944"/>
            <w:vAlign w:val="center"/>
            <w:shd w:fill="17365D"/>
            <w:tcBorders>
              <w:top w:val="single" w:sz="4" w:color="D7DEE8"/>
              <w:left w:val="single" w:sz="4" w:color="D7DEE8"/>
              <w:bottom w:val="single" w:sz="4" w:color="D7DEE8"/>
              <w:right w:val="single" w:sz="4" w:color="D7DEE8"/>
            </w:tcBorders>
          </w:tcPr>
          <w:p>
            <w:r>
              <w:rPr>
                <w:b/>
                <w:color w:val="FFFFFF"/>
                <w:sz w:val="15"/>
              </w:rPr>
              <w:t>Model category</w:t>
            </w:r>
          </w:p>
        </w:tc>
        <w:tc>
          <w:tcPr>
            <w:tcW w:type="dxa" w:w="1152"/>
            <w:vAlign w:val="center"/>
            <w:shd w:fill="17365D"/>
            <w:tcBorders>
              <w:top w:val="single" w:sz="4" w:color="D7DEE8"/>
              <w:left w:val="single" w:sz="4" w:color="D7DEE8"/>
              <w:bottom w:val="single" w:sz="4" w:color="D7DEE8"/>
              <w:right w:val="single" w:sz="4" w:color="D7DEE8"/>
            </w:tcBorders>
          </w:tcPr>
          <w:p>
            <w:r>
              <w:rPr>
                <w:b/>
                <w:color w:val="FFFFFF"/>
                <w:sz w:val="15"/>
              </w:rPr>
              <w:t>FY26 revenue</w:t>
            </w:r>
          </w:p>
        </w:tc>
        <w:tc>
          <w:tcPr>
            <w:tcW w:type="dxa" w:w="3528"/>
            <w:vAlign w:val="center"/>
            <w:shd w:fill="17365D"/>
            <w:tcBorders>
              <w:top w:val="single" w:sz="4" w:color="D7DEE8"/>
              <w:left w:val="single" w:sz="4" w:color="D7DEE8"/>
              <w:bottom w:val="single" w:sz="4" w:color="D7DEE8"/>
              <w:right w:val="single" w:sz="4" w:color="D7DEE8"/>
            </w:tcBorders>
          </w:tcPr>
          <w:p>
            <w:r>
              <w:rPr>
                <w:b/>
                <w:color w:val="FFFFFF"/>
                <w:sz w:val="15"/>
              </w:rPr>
              <w:t>Economic characteristics</w:t>
            </w:r>
          </w:p>
        </w:tc>
        <w:tc>
          <w:tcPr>
            <w:tcW w:type="dxa" w:w="3384"/>
            <w:vAlign w:val="center"/>
            <w:shd w:fill="17365D"/>
            <w:tcBorders>
              <w:top w:val="single" w:sz="4" w:color="D7DEE8"/>
              <w:left w:val="single" w:sz="4" w:color="D7DEE8"/>
              <w:bottom w:val="single" w:sz="4" w:color="D7DEE8"/>
              <w:right w:val="single" w:sz="4" w:color="D7DEE8"/>
            </w:tcBorders>
          </w:tcPr>
          <w:p>
            <w:r>
              <w:rPr>
                <w:b/>
                <w:color w:val="FFFFFF"/>
                <w:sz w:val="15"/>
              </w:rPr>
              <w:t>Forecast method</w:t>
            </w:r>
          </w:p>
        </w:tc>
      </w:tr>
      <w:tr>
        <w:trPr>
          <w:cantSplit/>
        </w:trPr>
        <w:tc>
          <w:tcPr>
            <w:tcW w:type="dxa" w:w="1944"/>
            <w:vAlign w:val="center"/>
            <w:tcBorders>
              <w:top w:val="single" w:sz="4" w:color="D7DEE8"/>
              <w:left w:val="single" w:sz="4" w:color="D7DEE8"/>
              <w:bottom w:val="single" w:sz="4" w:color="D7DEE8"/>
              <w:right w:val="single" w:sz="4" w:color="D7DEE8"/>
            </w:tcBorders>
          </w:tcPr>
          <w:p>
            <w:pPr>
              <w:spacing w:after="0"/>
            </w:pPr>
            <w:r>
              <w:rPr>
                <w:sz w:val="15"/>
              </w:rPr>
              <w:t>OCI</w:t>
            </w:r>
          </w:p>
        </w:tc>
        <w:tc>
          <w:tcPr>
            <w:tcW w:type="dxa" w:w="1152"/>
            <w:vAlign w:val="center"/>
            <w:tcBorders>
              <w:top w:val="single" w:sz="4" w:color="D7DEE8"/>
              <w:left w:val="single" w:sz="4" w:color="D7DEE8"/>
              <w:bottom w:val="single" w:sz="4" w:color="D7DEE8"/>
              <w:right w:val="single" w:sz="4" w:color="D7DEE8"/>
            </w:tcBorders>
          </w:tcPr>
          <w:p>
            <w:pPr>
              <w:spacing w:after="0"/>
            </w:pPr>
            <w:r>
              <w:rPr>
                <w:sz w:val="15"/>
              </w:rPr>
              <w:t>$18.1B</w:t>
            </w:r>
          </w:p>
        </w:tc>
        <w:tc>
          <w:tcPr>
            <w:tcW w:type="dxa" w:w="3528"/>
            <w:vAlign w:val="center"/>
            <w:tcBorders>
              <w:top w:val="single" w:sz="4" w:color="D7DEE8"/>
              <w:left w:val="single" w:sz="4" w:color="D7DEE8"/>
              <w:bottom w:val="single" w:sz="4" w:color="D7DEE8"/>
              <w:right w:val="single" w:sz="4" w:color="D7DEE8"/>
            </w:tcBorders>
          </w:tcPr>
          <w:p>
            <w:pPr>
              <w:spacing w:after="0"/>
            </w:pPr>
            <w:r>
              <w:rPr>
                <w:sz w:val="15"/>
              </w:rPr>
              <w:t>Capacity-constrained, capital-intensive, high growth</w:t>
            </w:r>
          </w:p>
        </w:tc>
        <w:tc>
          <w:tcPr>
            <w:tcW w:type="dxa" w:w="3384"/>
            <w:vAlign w:val="center"/>
            <w:tcBorders>
              <w:top w:val="single" w:sz="4" w:color="D7DEE8"/>
              <w:left w:val="single" w:sz="4" w:color="D7DEE8"/>
              <w:bottom w:val="single" w:sz="4" w:color="D7DEE8"/>
              <w:right w:val="single" w:sz="4" w:color="D7DEE8"/>
            </w:tcBorders>
          </w:tcPr>
          <w:p>
            <w:pPr>
              <w:spacing w:after="0"/>
            </w:pPr>
            <w:r>
              <w:rPr>
                <w:sz w:val="15"/>
              </w:rPr>
              <w:t>Capacity, utilization, contract activation, pricing and mix</w:t>
            </w:r>
          </w:p>
        </w:tc>
      </w:tr>
      <w:tr>
        <w:trPr>
          <w:cantSplit/>
        </w:trPr>
        <w:tc>
          <w:tcPr>
            <w:tcW w:type="dxa" w:w="1944"/>
            <w:vAlign w:val="center"/>
            <w:shd w:fill="EEF5FB"/>
            <w:tcBorders>
              <w:top w:val="single" w:sz="4" w:color="D7DEE8"/>
              <w:left w:val="single" w:sz="4" w:color="D7DEE8"/>
              <w:bottom w:val="single" w:sz="4" w:color="D7DEE8"/>
              <w:right w:val="single" w:sz="4" w:color="D7DEE8"/>
            </w:tcBorders>
          </w:tcPr>
          <w:p>
            <w:pPr>
              <w:spacing w:after="0"/>
            </w:pPr>
            <w:r>
              <w:rPr>
                <w:sz w:val="15"/>
              </w:rPr>
              <w:t>Cloud applications</w:t>
            </w:r>
          </w:p>
        </w:tc>
        <w:tc>
          <w:tcPr>
            <w:tcW w:type="dxa" w:w="1152"/>
            <w:vAlign w:val="center"/>
            <w:shd w:fill="EEF5FB"/>
            <w:tcBorders>
              <w:top w:val="single" w:sz="4" w:color="D7DEE8"/>
              <w:left w:val="single" w:sz="4" w:color="D7DEE8"/>
              <w:bottom w:val="single" w:sz="4" w:color="D7DEE8"/>
              <w:right w:val="single" w:sz="4" w:color="D7DEE8"/>
            </w:tcBorders>
          </w:tcPr>
          <w:p>
            <w:pPr>
              <w:spacing w:after="0"/>
            </w:pPr>
            <w:r>
              <w:rPr>
                <w:sz w:val="15"/>
              </w:rPr>
              <w:t>$15.9B</w:t>
            </w:r>
          </w:p>
        </w:tc>
        <w:tc>
          <w:tcPr>
            <w:tcW w:type="dxa" w:w="3528"/>
            <w:vAlign w:val="center"/>
            <w:shd w:fill="EEF5FB"/>
            <w:tcBorders>
              <w:top w:val="single" w:sz="4" w:color="D7DEE8"/>
              <w:left w:val="single" w:sz="4" w:color="D7DEE8"/>
              <w:bottom w:val="single" w:sz="4" w:color="D7DEE8"/>
              <w:right w:val="single" w:sz="4" w:color="D7DEE8"/>
            </w:tcBorders>
          </w:tcPr>
          <w:p>
            <w:pPr>
              <w:spacing w:after="0"/>
            </w:pPr>
            <w:r>
              <w:rPr>
                <w:sz w:val="15"/>
              </w:rPr>
              <w:t>Recurring SaaS, implementation-dependent</w:t>
            </w:r>
          </w:p>
        </w:tc>
        <w:tc>
          <w:tcPr>
            <w:tcW w:type="dxa" w:w="3384"/>
            <w:vAlign w:val="center"/>
            <w:shd w:fill="EEF5FB"/>
            <w:tcBorders>
              <w:top w:val="single" w:sz="4" w:color="D7DEE8"/>
              <w:left w:val="single" w:sz="4" w:color="D7DEE8"/>
              <w:bottom w:val="single" w:sz="4" w:color="D7DEE8"/>
              <w:right w:val="single" w:sz="4" w:color="D7DEE8"/>
            </w:tcBorders>
          </w:tcPr>
          <w:p>
            <w:pPr>
              <w:spacing w:after="0"/>
            </w:pPr>
            <w:r>
              <w:rPr>
                <w:sz w:val="15"/>
              </w:rPr>
              <w:t>Installed base, retention, expansion and new go-lives</w:t>
            </w:r>
          </w:p>
        </w:tc>
      </w:tr>
      <w:tr>
        <w:trPr>
          <w:cantSplit/>
        </w:trPr>
        <w:tc>
          <w:tcPr>
            <w:tcW w:type="dxa" w:w="1944"/>
            <w:vAlign w:val="center"/>
            <w:tcBorders>
              <w:top w:val="single" w:sz="4" w:color="D7DEE8"/>
              <w:left w:val="single" w:sz="4" w:color="D7DEE8"/>
              <w:bottom w:val="single" w:sz="4" w:color="D7DEE8"/>
              <w:right w:val="single" w:sz="4" w:color="D7DEE8"/>
            </w:tcBorders>
          </w:tcPr>
          <w:p>
            <w:pPr>
              <w:spacing w:after="0"/>
            </w:pPr>
            <w:r>
              <w:rPr>
                <w:sz w:val="15"/>
              </w:rPr>
              <w:t>Software support</w:t>
            </w:r>
          </w:p>
        </w:tc>
        <w:tc>
          <w:tcPr>
            <w:tcW w:type="dxa" w:w="1152"/>
            <w:vAlign w:val="center"/>
            <w:tcBorders>
              <w:top w:val="single" w:sz="4" w:color="D7DEE8"/>
              <w:left w:val="single" w:sz="4" w:color="D7DEE8"/>
              <w:bottom w:val="single" w:sz="4" w:color="D7DEE8"/>
              <w:right w:val="single" w:sz="4" w:color="D7DEE8"/>
            </w:tcBorders>
          </w:tcPr>
          <w:p>
            <w:pPr>
              <w:spacing w:after="0"/>
            </w:pPr>
            <w:r>
              <w:rPr>
                <w:sz w:val="15"/>
              </w:rPr>
              <w:t>$19.8B</w:t>
            </w:r>
          </w:p>
        </w:tc>
        <w:tc>
          <w:tcPr>
            <w:tcW w:type="dxa" w:w="3528"/>
            <w:vAlign w:val="center"/>
            <w:tcBorders>
              <w:top w:val="single" w:sz="4" w:color="D7DEE8"/>
              <w:left w:val="single" w:sz="4" w:color="D7DEE8"/>
              <w:bottom w:val="single" w:sz="4" w:color="D7DEE8"/>
              <w:right w:val="single" w:sz="4" w:color="D7DEE8"/>
            </w:tcBorders>
          </w:tcPr>
          <w:p>
            <w:pPr>
              <w:spacing w:after="0"/>
            </w:pPr>
            <w:r>
              <w:rPr>
                <w:sz w:val="15"/>
              </w:rPr>
              <w:t>Mature, recurring, high margin</w:t>
            </w:r>
          </w:p>
        </w:tc>
        <w:tc>
          <w:tcPr>
            <w:tcW w:type="dxa" w:w="3384"/>
            <w:vAlign w:val="center"/>
            <w:tcBorders>
              <w:top w:val="single" w:sz="4" w:color="D7DEE8"/>
              <w:left w:val="single" w:sz="4" w:color="D7DEE8"/>
              <w:bottom w:val="single" w:sz="4" w:color="D7DEE8"/>
              <w:right w:val="single" w:sz="4" w:color="D7DEE8"/>
            </w:tcBorders>
          </w:tcPr>
          <w:p>
            <w:pPr>
              <w:spacing w:after="0"/>
            </w:pPr>
            <w:r>
              <w:rPr>
                <w:sz w:val="15"/>
              </w:rPr>
              <w:t>Renewals, pricing, migration and churn</w:t>
            </w:r>
          </w:p>
        </w:tc>
      </w:tr>
      <w:tr>
        <w:trPr>
          <w:cantSplit/>
        </w:trPr>
        <w:tc>
          <w:tcPr>
            <w:tcW w:type="dxa" w:w="1944"/>
            <w:vAlign w:val="center"/>
            <w:shd w:fill="EEF5FB"/>
            <w:tcBorders>
              <w:top w:val="single" w:sz="4" w:color="D7DEE8"/>
              <w:left w:val="single" w:sz="4" w:color="D7DEE8"/>
              <w:bottom w:val="single" w:sz="4" w:color="D7DEE8"/>
              <w:right w:val="single" w:sz="4" w:color="D7DEE8"/>
            </w:tcBorders>
          </w:tcPr>
          <w:p>
            <w:pPr>
              <w:spacing w:after="0"/>
            </w:pPr>
            <w:r>
              <w:rPr>
                <w:sz w:val="15"/>
              </w:rPr>
              <w:t>Software licenses</w:t>
            </w:r>
          </w:p>
        </w:tc>
        <w:tc>
          <w:tcPr>
            <w:tcW w:type="dxa" w:w="1152"/>
            <w:vAlign w:val="center"/>
            <w:shd w:fill="EEF5FB"/>
            <w:tcBorders>
              <w:top w:val="single" w:sz="4" w:color="D7DEE8"/>
              <w:left w:val="single" w:sz="4" w:color="D7DEE8"/>
              <w:bottom w:val="single" w:sz="4" w:color="D7DEE8"/>
              <w:right w:val="single" w:sz="4" w:color="D7DEE8"/>
            </w:tcBorders>
          </w:tcPr>
          <w:p>
            <w:pPr>
              <w:spacing w:after="0"/>
            </w:pPr>
            <w:r>
              <w:rPr>
                <w:sz w:val="15"/>
              </w:rPr>
              <w:t>$4.7B</w:t>
            </w:r>
          </w:p>
        </w:tc>
        <w:tc>
          <w:tcPr>
            <w:tcW w:type="dxa" w:w="3528"/>
            <w:vAlign w:val="center"/>
            <w:shd w:fill="EEF5FB"/>
            <w:tcBorders>
              <w:top w:val="single" w:sz="4" w:color="D7DEE8"/>
              <w:left w:val="single" w:sz="4" w:color="D7DEE8"/>
              <w:bottom w:val="single" w:sz="4" w:color="D7DEE8"/>
              <w:right w:val="single" w:sz="4" w:color="D7DEE8"/>
            </w:tcBorders>
          </w:tcPr>
          <w:p>
            <w:pPr>
              <w:spacing w:after="0"/>
            </w:pPr>
            <w:r>
              <w:rPr>
                <w:sz w:val="15"/>
              </w:rPr>
              <w:t>Transactional, seasonally concentrated</w:t>
            </w:r>
          </w:p>
        </w:tc>
        <w:tc>
          <w:tcPr>
            <w:tcW w:type="dxa" w:w="3384"/>
            <w:vAlign w:val="center"/>
            <w:shd w:fill="EEF5FB"/>
            <w:tcBorders>
              <w:top w:val="single" w:sz="4" w:color="D7DEE8"/>
              <w:left w:val="single" w:sz="4" w:color="D7DEE8"/>
              <w:bottom w:val="single" w:sz="4" w:color="D7DEE8"/>
              <w:right w:val="single" w:sz="4" w:color="D7DEE8"/>
            </w:tcBorders>
          </w:tcPr>
          <w:p>
            <w:pPr>
              <w:spacing w:after="0"/>
            </w:pPr>
            <w:r>
              <w:rPr>
                <w:sz w:val="15"/>
              </w:rPr>
              <w:t>Bookings, close cadence and Q4 weighting</w:t>
            </w:r>
          </w:p>
        </w:tc>
      </w:tr>
      <w:tr>
        <w:trPr>
          <w:cantSplit/>
        </w:trPr>
        <w:tc>
          <w:tcPr>
            <w:tcW w:type="dxa" w:w="1944"/>
            <w:vAlign w:val="center"/>
            <w:tcBorders>
              <w:top w:val="single" w:sz="4" w:color="D7DEE8"/>
              <w:left w:val="single" w:sz="4" w:color="D7DEE8"/>
              <w:bottom w:val="single" w:sz="4" w:color="D7DEE8"/>
              <w:right w:val="single" w:sz="4" w:color="D7DEE8"/>
            </w:tcBorders>
          </w:tcPr>
          <w:p>
            <w:pPr>
              <w:spacing w:after="0"/>
            </w:pPr>
            <w:r>
              <w:rPr>
                <w:sz w:val="15"/>
              </w:rPr>
              <w:t>Hardware</w:t>
            </w:r>
          </w:p>
        </w:tc>
        <w:tc>
          <w:tcPr>
            <w:tcW w:type="dxa" w:w="1152"/>
            <w:vAlign w:val="center"/>
            <w:tcBorders>
              <w:top w:val="single" w:sz="4" w:color="D7DEE8"/>
              <w:left w:val="single" w:sz="4" w:color="D7DEE8"/>
              <w:bottom w:val="single" w:sz="4" w:color="D7DEE8"/>
              <w:right w:val="single" w:sz="4" w:color="D7DEE8"/>
            </w:tcBorders>
          </w:tcPr>
          <w:p>
            <w:pPr>
              <w:spacing w:after="0"/>
            </w:pPr>
            <w:r>
              <w:rPr>
                <w:sz w:val="15"/>
              </w:rPr>
              <w:t>$3.1B</w:t>
            </w:r>
          </w:p>
        </w:tc>
        <w:tc>
          <w:tcPr>
            <w:tcW w:type="dxa" w:w="3528"/>
            <w:vAlign w:val="center"/>
            <w:tcBorders>
              <w:top w:val="single" w:sz="4" w:color="D7DEE8"/>
              <w:left w:val="single" w:sz="4" w:color="D7DEE8"/>
              <w:bottom w:val="single" w:sz="4" w:color="D7DEE8"/>
              <w:right w:val="single" w:sz="4" w:color="D7DEE8"/>
            </w:tcBorders>
          </w:tcPr>
          <w:p>
            <w:pPr>
              <w:spacing w:after="0"/>
            </w:pPr>
            <w:r>
              <w:rPr>
                <w:sz w:val="15"/>
              </w:rPr>
              <w:t>Product-cycle and engineered-system driven</w:t>
            </w:r>
          </w:p>
        </w:tc>
        <w:tc>
          <w:tcPr>
            <w:tcW w:type="dxa" w:w="3384"/>
            <w:vAlign w:val="center"/>
            <w:tcBorders>
              <w:top w:val="single" w:sz="4" w:color="D7DEE8"/>
              <w:left w:val="single" w:sz="4" w:color="D7DEE8"/>
              <w:bottom w:val="single" w:sz="4" w:color="D7DEE8"/>
              <w:right w:val="single" w:sz="4" w:color="D7DEE8"/>
            </w:tcBorders>
          </w:tcPr>
          <w:p>
            <w:pPr>
              <w:spacing w:after="0"/>
            </w:pPr>
            <w:r>
              <w:rPr>
                <w:sz w:val="15"/>
              </w:rPr>
              <w:t>Units, ASP and product mix</w:t>
            </w:r>
          </w:p>
        </w:tc>
      </w:tr>
      <w:tr>
        <w:trPr>
          <w:cantSplit/>
        </w:trPr>
        <w:tc>
          <w:tcPr>
            <w:tcW w:type="dxa" w:w="1944"/>
            <w:vAlign w:val="center"/>
            <w:shd w:fill="EEF5FB"/>
            <w:tcBorders>
              <w:top w:val="single" w:sz="4" w:color="D7DEE8"/>
              <w:left w:val="single" w:sz="4" w:color="D7DEE8"/>
              <w:bottom w:val="single" w:sz="4" w:color="D7DEE8"/>
              <w:right w:val="single" w:sz="4" w:color="D7DEE8"/>
            </w:tcBorders>
          </w:tcPr>
          <w:p>
            <w:pPr>
              <w:spacing w:after="0"/>
            </w:pPr>
            <w:r>
              <w:rPr>
                <w:sz w:val="15"/>
              </w:rPr>
              <w:t>Services</w:t>
            </w:r>
          </w:p>
        </w:tc>
        <w:tc>
          <w:tcPr>
            <w:tcW w:type="dxa" w:w="1152"/>
            <w:vAlign w:val="center"/>
            <w:shd w:fill="EEF5FB"/>
            <w:tcBorders>
              <w:top w:val="single" w:sz="4" w:color="D7DEE8"/>
              <w:left w:val="single" w:sz="4" w:color="D7DEE8"/>
              <w:bottom w:val="single" w:sz="4" w:color="D7DEE8"/>
              <w:right w:val="single" w:sz="4" w:color="D7DEE8"/>
            </w:tcBorders>
          </w:tcPr>
          <w:p>
            <w:pPr>
              <w:spacing w:after="0"/>
            </w:pPr>
            <w:r>
              <w:rPr>
                <w:sz w:val="15"/>
              </w:rPr>
              <w:t>$5.7B</w:t>
            </w:r>
          </w:p>
        </w:tc>
        <w:tc>
          <w:tcPr>
            <w:tcW w:type="dxa" w:w="3528"/>
            <w:vAlign w:val="center"/>
            <w:shd w:fill="EEF5FB"/>
            <w:tcBorders>
              <w:top w:val="single" w:sz="4" w:color="D7DEE8"/>
              <w:left w:val="single" w:sz="4" w:color="D7DEE8"/>
              <w:bottom w:val="single" w:sz="4" w:color="D7DEE8"/>
              <w:right w:val="single" w:sz="4" w:color="D7DEE8"/>
            </w:tcBorders>
          </w:tcPr>
          <w:p>
            <w:pPr>
              <w:spacing w:after="0"/>
            </w:pPr>
            <w:r>
              <w:rPr>
                <w:sz w:val="15"/>
              </w:rPr>
              <w:t>Labor and implementation driven</w:t>
            </w:r>
          </w:p>
        </w:tc>
        <w:tc>
          <w:tcPr>
            <w:tcW w:type="dxa" w:w="3384"/>
            <w:vAlign w:val="center"/>
            <w:shd w:fill="EEF5FB"/>
            <w:tcBorders>
              <w:top w:val="single" w:sz="4" w:color="D7DEE8"/>
              <w:left w:val="single" w:sz="4" w:color="D7DEE8"/>
              <w:bottom w:val="single" w:sz="4" w:color="D7DEE8"/>
              <w:right w:val="single" w:sz="4" w:color="D7DEE8"/>
            </w:tcBorders>
          </w:tcPr>
          <w:p>
            <w:pPr>
              <w:spacing w:after="0"/>
            </w:pPr>
            <w:r>
              <w:rPr>
                <w:sz w:val="15"/>
              </w:rPr>
              <w:t>Billable capacity, utilization, rates and backlog</w:t>
            </w:r>
          </w:p>
        </w:tc>
      </w:tr>
    </w:tbl>
    <w:p>
      <w:pPr>
        <w:spacing w:after="20"/>
      </w:pPr>
    </w:p>
    <w:p>
      <w:pPr>
        <w:pStyle w:val="SourceNote"/>
      </w:pPr>
      <w:r>
        <w:rPr>
          <w:b/>
        </w:rPr>
        <w:t xml:space="preserve">Source: </w:t>
      </w:r>
      <w:r>
        <w:t>Oracle FY26 earnings release and annual results, June 2026.</w:t>
      </w:r>
    </w:p>
    <w:p>
      <w:pPr>
        <w:pStyle w:val="Heading2"/>
      </w:pPr>
      <w:r>
        <w:t>Why further application segmentation is not yet appropriate</w:t>
      </w:r>
    </w:p>
    <w:p>
      <w:r>
        <w:t>Fusion, NetSuite, Oracle Health, industry applications and other SaaS products are useful KPI overlays, but Oracle does not provide enough quarterly revenue disclosure to build independently auditable product-level P&amp;Ls.</w:t>
      </w:r>
    </w:p>
    <w:p>
      <w:pPr>
        <w:pStyle w:val="ExecutiveBullet"/>
      </w:pPr>
      <w:r>
        <w:rPr>
          <w:b/>
        </w:rPr>
        <w:t xml:space="preserve">• </w:t>
      </w:r>
      <w:r>
        <w:t>Forecast total cloud applications as a financial line.</w:t>
      </w:r>
    </w:p>
    <w:p>
      <w:pPr>
        <w:pStyle w:val="ExecutiveBullet"/>
      </w:pPr>
      <w:r>
        <w:rPr>
          <w:b/>
        </w:rPr>
        <w:t xml:space="preserve">• </w:t>
      </w:r>
      <w:r>
        <w:t>Maintain supporting KPI rows for Fusion, NetSuite, Oracle Health, SaaS deferred revenue, go-lives and customer additions.</w:t>
      </w:r>
    </w:p>
    <w:p>
      <w:pPr>
        <w:pStyle w:val="ExecutiveBullet"/>
      </w:pPr>
      <w:r>
        <w:rPr>
          <w:b/>
        </w:rPr>
        <w:t xml:space="preserve">• </w:t>
      </w:r>
      <w:r>
        <w:t>Avoid false precision created by assigning product-level revenue without reliable disclosure.</w:t>
      </w:r>
    </w:p>
    <w:p>
      <w:pPr>
        <w:pStyle w:val="Heading1"/>
      </w:pPr>
      <w:r>
        <w:t>2. Minimum operating drivers</w:t>
      </w:r>
    </w:p>
    <w:p>
      <w:pPr>
        <w:pStyle w:val="Heading2"/>
      </w:pPr>
      <w:r>
        <w:t>OCI</w:t>
      </w:r>
    </w:p>
    <w:p>
      <w:r>
        <w:t>OCI requires the most detailed operating model and should be forecast from capacity and utilization.</w:t>
      </w:r>
    </w:p>
    <w:p>
      <w:pPr>
        <w:pStyle w:val="ExecutiveBullet"/>
      </w:pPr>
      <w:r>
        <w:rPr>
          <w:b/>
          <w:color w:val="2F5597"/>
        </w:rPr>
        <w:t xml:space="preserve">1. </w:t>
      </w:r>
      <w:r>
        <w:t>Beginning available capacity</w:t>
      </w:r>
    </w:p>
    <w:p>
      <w:pPr>
        <w:pStyle w:val="ExecutiveBullet"/>
      </w:pPr>
      <w:r>
        <w:rPr>
          <w:b/>
          <w:color w:val="2F5597"/>
        </w:rPr>
        <w:t xml:space="preserve">2. </w:t>
      </w:r>
      <w:r>
        <w:t>Capacity placed in service during the quarter</w:t>
      </w:r>
    </w:p>
    <w:p>
      <w:pPr>
        <w:pStyle w:val="ExecutiveBullet"/>
      </w:pPr>
      <w:r>
        <w:rPr>
          <w:b/>
          <w:color w:val="2F5597"/>
        </w:rPr>
        <w:t xml:space="preserve">3. </w:t>
      </w:r>
      <w:r>
        <w:t>Ramp timing within the quarter</w:t>
      </w:r>
    </w:p>
    <w:p>
      <w:pPr>
        <w:pStyle w:val="ExecutiveBullet"/>
      </w:pPr>
      <w:r>
        <w:rPr>
          <w:b/>
          <w:color w:val="2F5597"/>
        </w:rPr>
        <w:t xml:space="preserve">4. </w:t>
      </w:r>
      <w:r>
        <w:t>Utilization of available capacity</w:t>
      </w:r>
    </w:p>
    <w:p>
      <w:pPr>
        <w:pStyle w:val="ExecutiveBullet"/>
      </w:pPr>
      <w:r>
        <w:rPr>
          <w:b/>
          <w:color w:val="2F5597"/>
        </w:rPr>
        <w:t xml:space="preserve">5. </w:t>
      </w:r>
      <w:r>
        <w:t>Revenue per unit of utilized capacity</w:t>
      </w:r>
    </w:p>
    <w:p>
      <w:pPr>
        <w:pStyle w:val="ExecutiveBullet"/>
      </w:pPr>
      <w:r>
        <w:rPr>
          <w:b/>
          <w:color w:val="2F5597"/>
        </w:rPr>
        <w:t xml:space="preserve">6. </w:t>
      </w:r>
      <w:r>
        <w:t>GPU AI infrastructure versus database, multicloud and traditional compute mix</w:t>
      </w:r>
    </w:p>
    <w:p>
      <w:pPr>
        <w:pStyle w:val="ExecutiveBullet"/>
      </w:pPr>
      <w:r>
        <w:rPr>
          <w:b/>
          <w:color w:val="2F5597"/>
        </w:rPr>
        <w:t xml:space="preserve">7. </w:t>
      </w:r>
      <w:r>
        <w:t>Oracle-funded versus prepaid versus customer-supplied hardware</w:t>
      </w:r>
    </w:p>
    <w:p>
      <w:pPr>
        <w:pStyle w:val="ExecutiveBullet"/>
      </w:pPr>
      <w:r>
        <w:rPr>
          <w:b/>
          <w:color w:val="2F5597"/>
        </w:rPr>
        <w:t xml:space="preserve">8. </w:t>
      </w:r>
      <w:r>
        <w:t>RPO scheduled to commence service</w:t>
      </w:r>
    </w:p>
    <w:p>
      <w:pPr>
        <w:pStyle w:val="ExecutiveBullet"/>
      </w:pPr>
      <w:r>
        <w:rPr>
          <w:b/>
          <w:color w:val="2F5597"/>
        </w:rPr>
        <w:t xml:space="preserve">9. </w:t>
      </w:r>
      <w:r>
        <w:t>Construction, power and equipment delays</w:t>
      </w:r>
    </w:p>
    <w:p>
      <w:pPr>
        <w:pStyle w:val="ExecutiveBullet"/>
      </w:pPr>
      <w:r>
        <w:rPr>
          <w:b/>
          <w:color w:val="2F5597"/>
        </w:rPr>
        <w:t xml:space="preserve">10. </w:t>
      </w:r>
      <w:r>
        <w:t>Price-escalation and cost pass-through provisions</w:t>
      </w:r>
    </w:p>
    <w:p>
      <w:pPr>
        <w:pStyle w:val="Formula"/>
      </w:pPr>
      <w:r>
        <w:t>OCI Revenue_t = Existing Capacity_t × Utilization_t × Revenue per Unit_t</w:t>
      </w:r>
      <w:r>
        <w:br/>
      </w:r>
      <w:r>
        <w:t>+ New Capacity_t × Ramp Factor_t × Utilization_t × Revenue per Unit_t</w:t>
      </w:r>
    </w:p>
    <w:p>
      <w:r>
        <w:t>Because Oracle does not disclose standardized megawatts, GPUs or revenue per unit by quarter, the practical model should use a capacity contribution index and reconcile it to disclosed site additions, RPO conversion and customer contract commencements.</w:t>
      </w:r>
    </w:p>
    <w:p>
      <w:pPr>
        <w:pStyle w:val="Formula"/>
      </w:pPr>
      <w:r>
        <w:t>OCI Growth_t = Existing Capacity Growth_t + New Capacity Contribution_t + Utilization Change_t + Price/Mix_t</w:t>
      </w:r>
      <w:r>
        <w:br/>
      </w:r>
    </w:p>
    <w:p>
      <w:pPr>
        <w:pStyle w:val="SourceNote"/>
      </w:pPr>
      <w:r>
        <w:rPr>
          <w:b/>
        </w:rPr>
        <w:t xml:space="preserve">Source: </w:t>
      </w:r>
      <w:r>
        <w:t>Oracle FY26 Q4 earnings call discussion of utilization, capacity delivery and customer funding structures.</w:t>
      </w:r>
    </w:p>
    <w:p>
      <w:pPr>
        <w:pStyle w:val="Heading2"/>
      </w:pPr>
      <w:r>
        <w:t>Cloud applications</w:t>
      </w:r>
    </w:p>
    <w:p>
      <w:pPr>
        <w:pStyle w:val="Formula"/>
      </w:pPr>
      <w:r>
        <w:t>Applications Revenue_t = Prior-Year Revenue_t × Retention_t × Price/Expansion_t + New Go-Live Contribution_t</w:t>
      </w:r>
      <w:r>
        <w:br/>
      </w:r>
    </w:p>
    <w:p>
      <w:pPr>
        <w:pStyle w:val="ExecutiveBullet"/>
      </w:pPr>
      <w:r>
        <w:rPr>
          <w:b/>
        </w:rPr>
        <w:t xml:space="preserve">• </w:t>
      </w:r>
      <w:r>
        <w:t>Gross retention and net revenue retention</w:t>
      </w:r>
    </w:p>
    <w:p>
      <w:pPr>
        <w:pStyle w:val="ExecutiveBullet"/>
      </w:pPr>
      <w:r>
        <w:rPr>
          <w:b/>
        </w:rPr>
        <w:t xml:space="preserve">• </w:t>
      </w:r>
      <w:r>
        <w:t>Price increases and expansion</w:t>
      </w:r>
    </w:p>
    <w:p>
      <w:pPr>
        <w:pStyle w:val="ExecutiveBullet"/>
      </w:pPr>
      <w:r>
        <w:rPr>
          <w:b/>
        </w:rPr>
        <w:t xml:space="preserve">• </w:t>
      </w:r>
      <w:r>
        <w:t>New bookings and implementation timing</w:t>
      </w:r>
    </w:p>
    <w:p>
      <w:pPr>
        <w:pStyle w:val="ExecutiveBullet"/>
      </w:pPr>
      <w:r>
        <w:rPr>
          <w:b/>
        </w:rPr>
        <w:t xml:space="preserve">• </w:t>
      </w:r>
      <w:r>
        <w:t>SaaS deferred-revenue growth</w:t>
      </w:r>
    </w:p>
    <w:p>
      <w:pPr>
        <w:pStyle w:val="ExecutiveBullet"/>
      </w:pPr>
      <w:r>
        <w:rPr>
          <w:b/>
        </w:rPr>
        <w:t xml:space="preserve">• </w:t>
      </w:r>
      <w:r>
        <w:t>Fusion, NetSuite and Oracle Health indicators</w:t>
      </w:r>
    </w:p>
    <w:p>
      <w:pPr>
        <w:pStyle w:val="ExecutiveBullet"/>
      </w:pPr>
      <w:r>
        <w:rPr>
          <w:b/>
        </w:rPr>
        <w:t xml:space="preserve">• </w:t>
      </w:r>
      <w:r>
        <w:t>Foreign exchange</w:t>
      </w:r>
    </w:p>
    <w:p>
      <w:pPr>
        <w:pStyle w:val="Heading2"/>
      </w:pPr>
      <w:r>
        <w:t>Software support</w:t>
      </w:r>
    </w:p>
    <w:p>
      <w:pPr>
        <w:pStyle w:val="Formula"/>
      </w:pPr>
      <w:r>
        <w:t>Support_t = Opening Support Base_t × Renewal Rate_t × Price_t − Churn/Migration_t</w:t>
      </w:r>
      <w:r>
        <w:br/>
      </w:r>
    </w:p>
    <w:p>
      <w:r>
        <w:t>Support should be modeled from renewal, contractual price, cloud migration and churn. Annual support revenue has remained unusually stable.</w:t>
      </w:r>
    </w:p>
    <w:p>
      <w:pPr>
        <w:pStyle w:val="Heading2"/>
      </w:pPr>
      <w:r>
        <w:t>Software licenses</w:t>
      </w:r>
    </w:p>
    <w:p>
      <w:r>
        <w:t>License revenue should not be smoothed. The model should use large-transaction pipeline, close rates, renewal cycles, cloud migration and Q4 closing concentration.</w:t>
      </w:r>
    </w:p>
    <w:p>
      <w:pPr>
        <w:pStyle w:val="Heading2"/>
      </w:pPr>
      <w:r>
        <w:t>Hardware</w:t>
      </w:r>
    </w:p>
    <w:p>
      <w:r>
        <w:t>Forecast engineered-system units, ASP, Exadata and database-appliance cycles, cloud-related hardware demand, supply availability and foreign exchange.</w:t>
      </w:r>
    </w:p>
    <w:p>
      <w:pPr>
        <w:pStyle w:val="Heading2"/>
      </w:pPr>
      <w:r>
        <w:t>Services</w:t>
      </w:r>
    </w:p>
    <w:p>
      <w:pPr>
        <w:pStyle w:val="Formula"/>
      </w:pPr>
      <w:r>
        <w:t>Services_t = Billable Headcount_t × Utilization_t × Billing Rate_t</w:t>
      </w:r>
      <w:r>
        <w:br/>
      </w:r>
    </w:p>
    <w:p>
      <w:r>
        <w:t>Include implementation backlog, subcontractor usage, Oracle Health activity, geographic mix and project completions.</w:t>
      </w:r>
    </w:p>
    <w:p>
      <w:pPr>
        <w:pStyle w:val="Heading1"/>
      </w:pPr>
      <w:r>
        <w:t>3. Quarterly seasonality</w:t>
      </w:r>
    </w:p>
    <w:p>
      <w:r>
        <w:t>The following quarterly shares are based on Oracle’s FY23 through FY26 reported revenue. FY23 is less comparable because of the Cerner acquisition, so recent exit patterns should receive greater weight.</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cantSplit/>
        </w:trPr>
        <w:tc>
          <w:tcPr>
            <w:tcW w:type="dxa" w:w="3240"/>
            <w:vAlign w:val="center"/>
            <w:shd w:fill="17365D"/>
            <w:tcBorders>
              <w:top w:val="single" w:sz="4" w:color="D7DEE8"/>
              <w:left w:val="single" w:sz="4" w:color="D7DEE8"/>
              <w:bottom w:val="single" w:sz="4" w:color="D7DEE8"/>
              <w:right w:val="single" w:sz="4" w:color="D7DEE8"/>
            </w:tcBorders>
          </w:tcPr>
          <w:p>
            <w:r>
              <w:rPr>
                <w:b/>
                <w:color w:val="FFFFFF"/>
                <w:sz w:val="16"/>
              </w:rPr>
              <w:t>Revenue category</w:t>
            </w:r>
          </w:p>
        </w:tc>
        <w:tc>
          <w:tcPr>
            <w:tcW w:type="dxa" w:w="1152"/>
            <w:vAlign w:val="center"/>
            <w:shd w:fill="17365D"/>
            <w:tcBorders>
              <w:top w:val="single" w:sz="4" w:color="D7DEE8"/>
              <w:left w:val="single" w:sz="4" w:color="D7DEE8"/>
              <w:bottom w:val="single" w:sz="4" w:color="D7DEE8"/>
              <w:right w:val="single" w:sz="4" w:color="D7DEE8"/>
            </w:tcBorders>
          </w:tcPr>
          <w:p>
            <w:r>
              <w:rPr>
                <w:b/>
                <w:color w:val="FFFFFF"/>
                <w:sz w:val="16"/>
              </w:rPr>
              <w:t>Q1</w:t>
            </w:r>
          </w:p>
        </w:tc>
        <w:tc>
          <w:tcPr>
            <w:tcW w:type="dxa" w:w="1152"/>
            <w:vAlign w:val="center"/>
            <w:shd w:fill="17365D"/>
            <w:tcBorders>
              <w:top w:val="single" w:sz="4" w:color="D7DEE8"/>
              <w:left w:val="single" w:sz="4" w:color="D7DEE8"/>
              <w:bottom w:val="single" w:sz="4" w:color="D7DEE8"/>
              <w:right w:val="single" w:sz="4" w:color="D7DEE8"/>
            </w:tcBorders>
          </w:tcPr>
          <w:p>
            <w:r>
              <w:rPr>
                <w:b/>
                <w:color w:val="FFFFFF"/>
                <w:sz w:val="16"/>
              </w:rPr>
              <w:t>Q2</w:t>
            </w:r>
          </w:p>
        </w:tc>
        <w:tc>
          <w:tcPr>
            <w:tcW w:type="dxa" w:w="1152"/>
            <w:vAlign w:val="center"/>
            <w:shd w:fill="17365D"/>
            <w:tcBorders>
              <w:top w:val="single" w:sz="4" w:color="D7DEE8"/>
              <w:left w:val="single" w:sz="4" w:color="D7DEE8"/>
              <w:bottom w:val="single" w:sz="4" w:color="D7DEE8"/>
              <w:right w:val="single" w:sz="4" w:color="D7DEE8"/>
            </w:tcBorders>
          </w:tcPr>
          <w:p>
            <w:r>
              <w:rPr>
                <w:b/>
                <w:color w:val="FFFFFF"/>
                <w:sz w:val="16"/>
              </w:rPr>
              <w:t>Q3</w:t>
            </w:r>
          </w:p>
        </w:tc>
        <w:tc>
          <w:tcPr>
            <w:tcW w:type="dxa" w:w="1152"/>
            <w:vAlign w:val="center"/>
            <w:shd w:fill="17365D"/>
            <w:tcBorders>
              <w:top w:val="single" w:sz="4" w:color="D7DEE8"/>
              <w:left w:val="single" w:sz="4" w:color="D7DEE8"/>
              <w:bottom w:val="single" w:sz="4" w:color="D7DEE8"/>
              <w:right w:val="single" w:sz="4" w:color="D7DEE8"/>
            </w:tcBorders>
          </w:tcPr>
          <w:p>
            <w:r>
              <w:rPr>
                <w:b/>
                <w:color w:val="FFFFFF"/>
                <w:sz w:val="16"/>
              </w:rPr>
              <w:t>Q4</w:t>
            </w:r>
          </w:p>
        </w:tc>
      </w:tr>
      <w:tr>
        <w:trPr>
          <w:cantSplit/>
        </w:trPr>
        <w:tc>
          <w:tcPr>
            <w:tcW w:type="dxa" w:w="3240"/>
            <w:vAlign w:val="center"/>
            <w:tcBorders>
              <w:top w:val="single" w:sz="4" w:color="D7DEE8"/>
              <w:left w:val="single" w:sz="4" w:color="D7DEE8"/>
              <w:bottom w:val="single" w:sz="4" w:color="D7DEE8"/>
              <w:right w:val="single" w:sz="4" w:color="D7DEE8"/>
            </w:tcBorders>
          </w:tcPr>
          <w:p>
            <w:pPr>
              <w:spacing w:after="0"/>
            </w:pPr>
            <w:r>
              <w:rPr>
                <w:sz w:val="16"/>
              </w:rPr>
              <w:t>Cloud</w:t>
            </w:r>
          </w:p>
        </w:tc>
        <w:tc>
          <w:tcPr>
            <w:tcW w:type="dxa" w:w="1152"/>
            <w:vAlign w:val="center"/>
            <w:tcBorders>
              <w:top w:val="single" w:sz="4" w:color="D7DEE8"/>
              <w:left w:val="single" w:sz="4" w:color="D7DEE8"/>
              <w:bottom w:val="single" w:sz="4" w:color="D7DEE8"/>
              <w:right w:val="single" w:sz="4" w:color="D7DEE8"/>
            </w:tcBorders>
          </w:tcPr>
          <w:p>
            <w:pPr>
              <w:spacing w:after="0"/>
            </w:pPr>
            <w:r>
              <w:rPr>
                <w:sz w:val="16"/>
              </w:rPr>
              <w:t>22.5%</w:t>
            </w:r>
          </w:p>
        </w:tc>
        <w:tc>
          <w:tcPr>
            <w:tcW w:type="dxa" w:w="1152"/>
            <w:vAlign w:val="center"/>
            <w:tcBorders>
              <w:top w:val="single" w:sz="4" w:color="D7DEE8"/>
              <w:left w:val="single" w:sz="4" w:color="D7DEE8"/>
              <w:bottom w:val="single" w:sz="4" w:color="D7DEE8"/>
              <w:right w:val="single" w:sz="4" w:color="D7DEE8"/>
            </w:tcBorders>
          </w:tcPr>
          <w:p>
            <w:pPr>
              <w:spacing w:after="0"/>
            </w:pPr>
            <w:r>
              <w:rPr>
                <w:sz w:val="16"/>
              </w:rPr>
              <w:t>24.0%</w:t>
            </w:r>
          </w:p>
        </w:tc>
        <w:tc>
          <w:tcPr>
            <w:tcW w:type="dxa" w:w="1152"/>
            <w:vAlign w:val="center"/>
            <w:tcBorders>
              <w:top w:val="single" w:sz="4" w:color="D7DEE8"/>
              <w:left w:val="single" w:sz="4" w:color="D7DEE8"/>
              <w:bottom w:val="single" w:sz="4" w:color="D7DEE8"/>
              <w:right w:val="single" w:sz="4" w:color="D7DEE8"/>
            </w:tcBorders>
          </w:tcPr>
          <w:p>
            <w:pPr>
              <w:spacing w:after="0"/>
            </w:pPr>
            <w:r>
              <w:rPr>
                <w:sz w:val="16"/>
              </w:rPr>
              <w:t>25.7%</w:t>
            </w:r>
          </w:p>
        </w:tc>
        <w:tc>
          <w:tcPr>
            <w:tcW w:type="dxa" w:w="1152"/>
            <w:vAlign w:val="center"/>
            <w:tcBorders>
              <w:top w:val="single" w:sz="4" w:color="D7DEE8"/>
              <w:left w:val="single" w:sz="4" w:color="D7DEE8"/>
              <w:bottom w:val="single" w:sz="4" w:color="D7DEE8"/>
              <w:right w:val="single" w:sz="4" w:color="D7DEE8"/>
            </w:tcBorders>
          </w:tcPr>
          <w:p>
            <w:pPr>
              <w:spacing w:after="0"/>
            </w:pPr>
            <w:r>
              <w:rPr>
                <w:sz w:val="16"/>
              </w:rPr>
              <w:t>27.9%</w:t>
            </w:r>
          </w:p>
        </w:tc>
      </w:tr>
      <w:tr>
        <w:trPr>
          <w:cantSplit/>
        </w:trPr>
        <w:tc>
          <w:tcPr>
            <w:tcW w:type="dxa" w:w="3240"/>
            <w:vAlign w:val="center"/>
            <w:shd w:fill="EEF5FB"/>
            <w:tcBorders>
              <w:top w:val="single" w:sz="4" w:color="D7DEE8"/>
              <w:left w:val="single" w:sz="4" w:color="D7DEE8"/>
              <w:bottom w:val="single" w:sz="4" w:color="D7DEE8"/>
              <w:right w:val="single" w:sz="4" w:color="D7DEE8"/>
            </w:tcBorders>
          </w:tcPr>
          <w:p>
            <w:pPr>
              <w:spacing w:after="0"/>
            </w:pPr>
            <w:r>
              <w:rPr>
                <w:sz w:val="16"/>
              </w:rPr>
              <w:t>Software licenses</w:t>
            </w:r>
          </w:p>
        </w:tc>
        <w:tc>
          <w:tcPr>
            <w:tcW w:type="dxa" w:w="1152"/>
            <w:vAlign w:val="center"/>
            <w:shd w:fill="EEF5FB"/>
            <w:tcBorders>
              <w:top w:val="single" w:sz="4" w:color="D7DEE8"/>
              <w:left w:val="single" w:sz="4" w:color="D7DEE8"/>
              <w:bottom w:val="single" w:sz="4" w:color="D7DEE8"/>
              <w:right w:val="single" w:sz="4" w:color="D7DEE8"/>
            </w:tcBorders>
          </w:tcPr>
          <w:p>
            <w:pPr>
              <w:spacing w:after="0"/>
            </w:pPr>
            <w:r>
              <w:rPr>
                <w:sz w:val="16"/>
              </w:rPr>
              <w:t>16.1%</w:t>
            </w:r>
          </w:p>
        </w:tc>
        <w:tc>
          <w:tcPr>
            <w:tcW w:type="dxa" w:w="1152"/>
            <w:vAlign w:val="center"/>
            <w:shd w:fill="EEF5FB"/>
            <w:tcBorders>
              <w:top w:val="single" w:sz="4" w:color="D7DEE8"/>
              <w:left w:val="single" w:sz="4" w:color="D7DEE8"/>
              <w:bottom w:val="single" w:sz="4" w:color="D7DEE8"/>
              <w:right w:val="single" w:sz="4" w:color="D7DEE8"/>
            </w:tcBorders>
          </w:tcPr>
          <w:p>
            <w:pPr>
              <w:spacing w:after="0"/>
            </w:pPr>
            <w:r>
              <w:rPr>
                <w:sz w:val="16"/>
              </w:rPr>
              <w:t>22.7%</w:t>
            </w:r>
          </w:p>
        </w:tc>
        <w:tc>
          <w:tcPr>
            <w:tcW w:type="dxa" w:w="1152"/>
            <w:vAlign w:val="center"/>
            <w:shd w:fill="EEF5FB"/>
            <w:tcBorders>
              <w:top w:val="single" w:sz="4" w:color="D7DEE8"/>
              <w:left w:val="single" w:sz="4" w:color="D7DEE8"/>
              <w:bottom w:val="single" w:sz="4" w:color="D7DEE8"/>
              <w:right w:val="single" w:sz="4" w:color="D7DEE8"/>
            </w:tcBorders>
          </w:tcPr>
          <w:p>
            <w:pPr>
              <w:spacing w:after="0"/>
            </w:pPr>
            <w:r>
              <w:rPr>
                <w:sz w:val="16"/>
              </w:rPr>
              <w:t>23.2%</w:t>
            </w:r>
          </w:p>
        </w:tc>
        <w:tc>
          <w:tcPr>
            <w:tcW w:type="dxa" w:w="1152"/>
            <w:vAlign w:val="center"/>
            <w:shd w:fill="EEF5FB"/>
            <w:tcBorders>
              <w:top w:val="single" w:sz="4" w:color="D7DEE8"/>
              <w:left w:val="single" w:sz="4" w:color="D7DEE8"/>
              <w:bottom w:val="single" w:sz="4" w:color="D7DEE8"/>
              <w:right w:val="single" w:sz="4" w:color="D7DEE8"/>
            </w:tcBorders>
          </w:tcPr>
          <w:p>
            <w:pPr>
              <w:spacing w:after="0"/>
            </w:pPr>
            <w:r>
              <w:rPr>
                <w:sz w:val="16"/>
              </w:rPr>
              <w:t>37.9%</w:t>
            </w:r>
          </w:p>
        </w:tc>
      </w:tr>
      <w:tr>
        <w:trPr>
          <w:cantSplit/>
        </w:trPr>
        <w:tc>
          <w:tcPr>
            <w:tcW w:type="dxa" w:w="3240"/>
            <w:vAlign w:val="center"/>
            <w:tcBorders>
              <w:top w:val="single" w:sz="4" w:color="D7DEE8"/>
              <w:left w:val="single" w:sz="4" w:color="D7DEE8"/>
              <w:bottom w:val="single" w:sz="4" w:color="D7DEE8"/>
              <w:right w:val="single" w:sz="4" w:color="D7DEE8"/>
            </w:tcBorders>
          </w:tcPr>
          <w:p>
            <w:pPr>
              <w:spacing w:after="0"/>
            </w:pPr>
            <w:r>
              <w:rPr>
                <w:sz w:val="16"/>
              </w:rPr>
              <w:t>Software support</w:t>
            </w:r>
          </w:p>
        </w:tc>
        <w:tc>
          <w:tcPr>
            <w:tcW w:type="dxa" w:w="1152"/>
            <w:vAlign w:val="center"/>
            <w:tcBorders>
              <w:top w:val="single" w:sz="4" w:color="D7DEE8"/>
              <w:left w:val="single" w:sz="4" w:color="D7DEE8"/>
              <w:bottom w:val="single" w:sz="4" w:color="D7DEE8"/>
              <w:right w:val="single" w:sz="4" w:color="D7DEE8"/>
            </w:tcBorders>
          </w:tcPr>
          <w:p>
            <w:pPr>
              <w:spacing w:after="0"/>
            </w:pPr>
            <w:r>
              <w:rPr>
                <w:sz w:val="16"/>
              </w:rPr>
              <w:t>25.0%</w:t>
            </w:r>
          </w:p>
        </w:tc>
        <w:tc>
          <w:tcPr>
            <w:tcW w:type="dxa" w:w="1152"/>
            <w:vAlign w:val="center"/>
            <w:tcBorders>
              <w:top w:val="single" w:sz="4" w:color="D7DEE8"/>
              <w:left w:val="single" w:sz="4" w:color="D7DEE8"/>
              <w:bottom w:val="single" w:sz="4" w:color="D7DEE8"/>
              <w:right w:val="single" w:sz="4" w:color="D7DEE8"/>
            </w:tcBorders>
          </w:tcPr>
          <w:p>
            <w:pPr>
              <w:spacing w:after="0"/>
            </w:pPr>
            <w:r>
              <w:rPr>
                <w:sz w:val="16"/>
              </w:rPr>
              <w:t>24.8%</w:t>
            </w:r>
          </w:p>
        </w:tc>
        <w:tc>
          <w:tcPr>
            <w:tcW w:type="dxa" w:w="1152"/>
            <w:vAlign w:val="center"/>
            <w:tcBorders>
              <w:top w:val="single" w:sz="4" w:color="D7DEE8"/>
              <w:left w:val="single" w:sz="4" w:color="D7DEE8"/>
              <w:bottom w:val="single" w:sz="4" w:color="D7DEE8"/>
              <w:right w:val="single" w:sz="4" w:color="D7DEE8"/>
            </w:tcBorders>
          </w:tcPr>
          <w:p>
            <w:pPr>
              <w:spacing w:after="0"/>
            </w:pPr>
            <w:r>
              <w:rPr>
                <w:sz w:val="16"/>
              </w:rPr>
              <w:t>24.9%</w:t>
            </w:r>
          </w:p>
        </w:tc>
        <w:tc>
          <w:tcPr>
            <w:tcW w:type="dxa" w:w="1152"/>
            <w:vAlign w:val="center"/>
            <w:tcBorders>
              <w:top w:val="single" w:sz="4" w:color="D7DEE8"/>
              <w:left w:val="single" w:sz="4" w:color="D7DEE8"/>
              <w:bottom w:val="single" w:sz="4" w:color="D7DEE8"/>
              <w:right w:val="single" w:sz="4" w:color="D7DEE8"/>
            </w:tcBorders>
          </w:tcPr>
          <w:p>
            <w:pPr>
              <w:spacing w:after="0"/>
            </w:pPr>
            <w:r>
              <w:rPr>
                <w:sz w:val="16"/>
              </w:rPr>
              <w:t>25.2%</w:t>
            </w:r>
          </w:p>
        </w:tc>
      </w:tr>
      <w:tr>
        <w:trPr>
          <w:cantSplit/>
        </w:trPr>
        <w:tc>
          <w:tcPr>
            <w:tcW w:type="dxa" w:w="3240"/>
            <w:vAlign w:val="center"/>
            <w:shd w:fill="EEF5FB"/>
            <w:tcBorders>
              <w:top w:val="single" w:sz="4" w:color="D7DEE8"/>
              <w:left w:val="single" w:sz="4" w:color="D7DEE8"/>
              <w:bottom w:val="single" w:sz="4" w:color="D7DEE8"/>
              <w:right w:val="single" w:sz="4" w:color="D7DEE8"/>
            </w:tcBorders>
          </w:tcPr>
          <w:p>
            <w:pPr>
              <w:spacing w:after="0"/>
            </w:pPr>
            <w:r>
              <w:rPr>
                <w:sz w:val="16"/>
              </w:rPr>
              <w:t>Hardware</w:t>
            </w:r>
          </w:p>
        </w:tc>
        <w:tc>
          <w:tcPr>
            <w:tcW w:type="dxa" w:w="1152"/>
            <w:vAlign w:val="center"/>
            <w:shd w:fill="EEF5FB"/>
            <w:tcBorders>
              <w:top w:val="single" w:sz="4" w:color="D7DEE8"/>
              <w:left w:val="single" w:sz="4" w:color="D7DEE8"/>
              <w:bottom w:val="single" w:sz="4" w:color="D7DEE8"/>
              <w:right w:val="single" w:sz="4" w:color="D7DEE8"/>
            </w:tcBorders>
          </w:tcPr>
          <w:p>
            <w:pPr>
              <w:spacing w:after="0"/>
            </w:pPr>
            <w:r>
              <w:rPr>
                <w:sz w:val="16"/>
              </w:rPr>
              <w:t>22.7%</w:t>
            </w:r>
          </w:p>
        </w:tc>
        <w:tc>
          <w:tcPr>
            <w:tcW w:type="dxa" w:w="1152"/>
            <w:vAlign w:val="center"/>
            <w:shd w:fill="EEF5FB"/>
            <w:tcBorders>
              <w:top w:val="single" w:sz="4" w:color="D7DEE8"/>
              <w:left w:val="single" w:sz="4" w:color="D7DEE8"/>
              <w:bottom w:val="single" w:sz="4" w:color="D7DEE8"/>
              <w:right w:val="single" w:sz="4" w:color="D7DEE8"/>
            </w:tcBorders>
          </w:tcPr>
          <w:p>
            <w:pPr>
              <w:spacing w:after="0"/>
            </w:pPr>
            <w:r>
              <w:rPr>
                <w:sz w:val="16"/>
              </w:rPr>
              <w:t>25.1%</w:t>
            </w:r>
          </w:p>
        </w:tc>
        <w:tc>
          <w:tcPr>
            <w:tcW w:type="dxa" w:w="1152"/>
            <w:vAlign w:val="center"/>
            <w:shd w:fill="EEF5FB"/>
            <w:tcBorders>
              <w:top w:val="single" w:sz="4" w:color="D7DEE8"/>
              <w:left w:val="single" w:sz="4" w:color="D7DEE8"/>
              <w:bottom w:val="single" w:sz="4" w:color="D7DEE8"/>
              <w:right w:val="single" w:sz="4" w:color="D7DEE8"/>
            </w:tcBorders>
          </w:tcPr>
          <w:p>
            <w:pPr>
              <w:spacing w:after="0"/>
            </w:pPr>
            <w:r>
              <w:rPr>
                <w:sz w:val="16"/>
              </w:rPr>
              <w:t>24.1%</w:t>
            </w:r>
          </w:p>
        </w:tc>
        <w:tc>
          <w:tcPr>
            <w:tcW w:type="dxa" w:w="1152"/>
            <w:vAlign w:val="center"/>
            <w:shd w:fill="EEF5FB"/>
            <w:tcBorders>
              <w:top w:val="single" w:sz="4" w:color="D7DEE8"/>
              <w:left w:val="single" w:sz="4" w:color="D7DEE8"/>
              <w:bottom w:val="single" w:sz="4" w:color="D7DEE8"/>
              <w:right w:val="single" w:sz="4" w:color="D7DEE8"/>
            </w:tcBorders>
          </w:tcPr>
          <w:p>
            <w:pPr>
              <w:spacing w:after="0"/>
            </w:pPr>
            <w:r>
              <w:rPr>
                <w:sz w:val="16"/>
              </w:rPr>
              <w:t>28.1%</w:t>
            </w:r>
          </w:p>
        </w:tc>
      </w:tr>
      <w:tr>
        <w:trPr>
          <w:cantSplit/>
        </w:trPr>
        <w:tc>
          <w:tcPr>
            <w:tcW w:type="dxa" w:w="3240"/>
            <w:vAlign w:val="center"/>
            <w:tcBorders>
              <w:top w:val="single" w:sz="4" w:color="D7DEE8"/>
              <w:left w:val="single" w:sz="4" w:color="D7DEE8"/>
              <w:bottom w:val="single" w:sz="4" w:color="D7DEE8"/>
              <w:right w:val="single" w:sz="4" w:color="D7DEE8"/>
            </w:tcBorders>
          </w:tcPr>
          <w:p>
            <w:pPr>
              <w:spacing w:after="0"/>
            </w:pPr>
            <w:r>
              <w:rPr>
                <w:sz w:val="16"/>
              </w:rPr>
              <w:t>Services</w:t>
            </w:r>
          </w:p>
        </w:tc>
        <w:tc>
          <w:tcPr>
            <w:tcW w:type="dxa" w:w="1152"/>
            <w:vAlign w:val="center"/>
            <w:tcBorders>
              <w:top w:val="single" w:sz="4" w:color="D7DEE8"/>
              <w:left w:val="single" w:sz="4" w:color="D7DEE8"/>
              <w:bottom w:val="single" w:sz="4" w:color="D7DEE8"/>
              <w:right w:val="single" w:sz="4" w:color="D7DEE8"/>
            </w:tcBorders>
          </w:tcPr>
          <w:p>
            <w:pPr>
              <w:spacing w:after="0"/>
            </w:pPr>
            <w:r>
              <w:rPr>
                <w:sz w:val="16"/>
              </w:rPr>
              <w:t>24.4%</w:t>
            </w:r>
          </w:p>
        </w:tc>
        <w:tc>
          <w:tcPr>
            <w:tcW w:type="dxa" w:w="1152"/>
            <w:vAlign w:val="center"/>
            <w:tcBorders>
              <w:top w:val="single" w:sz="4" w:color="D7DEE8"/>
              <w:left w:val="single" w:sz="4" w:color="D7DEE8"/>
              <w:bottom w:val="single" w:sz="4" w:color="D7DEE8"/>
              <w:right w:val="single" w:sz="4" w:color="D7DEE8"/>
            </w:tcBorders>
          </w:tcPr>
          <w:p>
            <w:pPr>
              <w:spacing w:after="0"/>
            </w:pPr>
            <w:r>
              <w:rPr>
                <w:sz w:val="16"/>
              </w:rPr>
              <w:t>25.1%</w:t>
            </w:r>
          </w:p>
        </w:tc>
        <w:tc>
          <w:tcPr>
            <w:tcW w:type="dxa" w:w="1152"/>
            <w:vAlign w:val="center"/>
            <w:tcBorders>
              <w:top w:val="single" w:sz="4" w:color="D7DEE8"/>
              <w:left w:val="single" w:sz="4" w:color="D7DEE8"/>
              <w:bottom w:val="single" w:sz="4" w:color="D7DEE8"/>
              <w:right w:val="single" w:sz="4" w:color="D7DEE8"/>
            </w:tcBorders>
          </w:tcPr>
          <w:p>
            <w:pPr>
              <w:spacing w:after="0"/>
            </w:pPr>
            <w:r>
              <w:rPr>
                <w:sz w:val="16"/>
              </w:rPr>
              <w:t>24.6%</w:t>
            </w:r>
          </w:p>
        </w:tc>
        <w:tc>
          <w:tcPr>
            <w:tcW w:type="dxa" w:w="1152"/>
            <w:vAlign w:val="center"/>
            <w:tcBorders>
              <w:top w:val="single" w:sz="4" w:color="D7DEE8"/>
              <w:left w:val="single" w:sz="4" w:color="D7DEE8"/>
              <w:bottom w:val="single" w:sz="4" w:color="D7DEE8"/>
              <w:right w:val="single" w:sz="4" w:color="D7DEE8"/>
            </w:tcBorders>
          </w:tcPr>
          <w:p>
            <w:pPr>
              <w:spacing w:after="0"/>
            </w:pPr>
            <w:r>
              <w:rPr>
                <w:sz w:val="16"/>
              </w:rPr>
              <w:t>25.9%</w:t>
            </w:r>
          </w:p>
        </w:tc>
      </w:tr>
      <w:tr>
        <w:trPr>
          <w:cantSplit/>
        </w:trPr>
        <w:tc>
          <w:tcPr>
            <w:tcW w:type="dxa" w:w="3240"/>
            <w:vAlign w:val="center"/>
            <w:shd w:fill="EEF5FB"/>
            <w:tcBorders>
              <w:top w:val="single" w:sz="4" w:color="D7DEE8"/>
              <w:left w:val="single" w:sz="4" w:color="D7DEE8"/>
              <w:bottom w:val="single" w:sz="4" w:color="D7DEE8"/>
              <w:right w:val="single" w:sz="4" w:color="D7DEE8"/>
            </w:tcBorders>
          </w:tcPr>
          <w:p>
            <w:pPr>
              <w:spacing w:after="0"/>
            </w:pPr>
            <w:r>
              <w:rPr>
                <w:sz w:val="16"/>
              </w:rPr>
              <w:t>Total revenue</w:t>
            </w:r>
          </w:p>
        </w:tc>
        <w:tc>
          <w:tcPr>
            <w:tcW w:type="dxa" w:w="1152"/>
            <w:vAlign w:val="center"/>
            <w:shd w:fill="EEF5FB"/>
            <w:tcBorders>
              <w:top w:val="single" w:sz="4" w:color="D7DEE8"/>
              <w:left w:val="single" w:sz="4" w:color="D7DEE8"/>
              <w:bottom w:val="single" w:sz="4" w:color="D7DEE8"/>
              <w:right w:val="single" w:sz="4" w:color="D7DEE8"/>
            </w:tcBorders>
          </w:tcPr>
          <w:p>
            <w:pPr>
              <w:spacing w:after="0"/>
            </w:pPr>
            <w:r>
              <w:rPr>
                <w:sz w:val="16"/>
              </w:rPr>
              <w:t>22.9%</w:t>
            </w:r>
          </w:p>
        </w:tc>
        <w:tc>
          <w:tcPr>
            <w:tcW w:type="dxa" w:w="1152"/>
            <w:vAlign w:val="center"/>
            <w:shd w:fill="EEF5FB"/>
            <w:tcBorders>
              <w:top w:val="single" w:sz="4" w:color="D7DEE8"/>
              <w:left w:val="single" w:sz="4" w:color="D7DEE8"/>
              <w:bottom w:val="single" w:sz="4" w:color="D7DEE8"/>
              <w:right w:val="single" w:sz="4" w:color="D7DEE8"/>
            </w:tcBorders>
          </w:tcPr>
          <w:p>
            <w:pPr>
              <w:spacing w:after="0"/>
            </w:pPr>
            <w:r>
              <w:rPr>
                <w:sz w:val="16"/>
              </w:rPr>
              <w:t>24.3%</w:t>
            </w:r>
          </w:p>
        </w:tc>
        <w:tc>
          <w:tcPr>
            <w:tcW w:type="dxa" w:w="1152"/>
            <w:vAlign w:val="center"/>
            <w:shd w:fill="EEF5FB"/>
            <w:tcBorders>
              <w:top w:val="single" w:sz="4" w:color="D7DEE8"/>
              <w:left w:val="single" w:sz="4" w:color="D7DEE8"/>
              <w:bottom w:val="single" w:sz="4" w:color="D7DEE8"/>
              <w:right w:val="single" w:sz="4" w:color="D7DEE8"/>
            </w:tcBorders>
          </w:tcPr>
          <w:p>
            <w:pPr>
              <w:spacing w:after="0"/>
            </w:pPr>
            <w:r>
              <w:rPr>
                <w:sz w:val="16"/>
              </w:rPr>
              <w:t>25.0%</w:t>
            </w:r>
          </w:p>
        </w:tc>
        <w:tc>
          <w:tcPr>
            <w:tcW w:type="dxa" w:w="1152"/>
            <w:vAlign w:val="center"/>
            <w:shd w:fill="EEF5FB"/>
            <w:tcBorders>
              <w:top w:val="single" w:sz="4" w:color="D7DEE8"/>
              <w:left w:val="single" w:sz="4" w:color="D7DEE8"/>
              <w:bottom w:val="single" w:sz="4" w:color="D7DEE8"/>
              <w:right w:val="single" w:sz="4" w:color="D7DEE8"/>
            </w:tcBorders>
          </w:tcPr>
          <w:p>
            <w:pPr>
              <w:spacing w:after="0"/>
            </w:pPr>
            <w:r>
              <w:rPr>
                <w:sz w:val="16"/>
              </w:rPr>
              <w:t>27.7%</w:t>
            </w:r>
          </w:p>
        </w:tc>
      </w:tr>
    </w:tbl>
    <w:p>
      <w:pPr>
        <w:spacing w:after="20"/>
      </w:pP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cantSplit/>
        </w:trPr>
        <w:tc>
          <w:tcPr>
            <w:tcW w:type="dxa" w:w="3240"/>
            <w:vAlign w:val="center"/>
            <w:shd w:fill="17365D"/>
            <w:tcBorders>
              <w:top w:val="single" w:sz="4" w:color="D7DEE8"/>
              <w:left w:val="single" w:sz="4" w:color="D7DEE8"/>
              <w:bottom w:val="single" w:sz="4" w:color="D7DEE8"/>
              <w:right w:val="single" w:sz="4" w:color="D7DEE8"/>
            </w:tcBorders>
          </w:tcPr>
          <w:p>
            <w:r>
              <w:rPr>
                <w:b/>
                <w:color w:val="FFFFFF"/>
                <w:sz w:val="16"/>
              </w:rPr>
              <w:t>Cloud component</w:t>
            </w:r>
          </w:p>
        </w:tc>
        <w:tc>
          <w:tcPr>
            <w:tcW w:type="dxa" w:w="1152"/>
            <w:vAlign w:val="center"/>
            <w:shd w:fill="17365D"/>
            <w:tcBorders>
              <w:top w:val="single" w:sz="4" w:color="D7DEE8"/>
              <w:left w:val="single" w:sz="4" w:color="D7DEE8"/>
              <w:bottom w:val="single" w:sz="4" w:color="D7DEE8"/>
              <w:right w:val="single" w:sz="4" w:color="D7DEE8"/>
            </w:tcBorders>
          </w:tcPr>
          <w:p>
            <w:r>
              <w:rPr>
                <w:b/>
                <w:color w:val="FFFFFF"/>
                <w:sz w:val="16"/>
              </w:rPr>
              <w:t>Q1</w:t>
            </w:r>
          </w:p>
        </w:tc>
        <w:tc>
          <w:tcPr>
            <w:tcW w:type="dxa" w:w="1152"/>
            <w:vAlign w:val="center"/>
            <w:shd w:fill="17365D"/>
            <w:tcBorders>
              <w:top w:val="single" w:sz="4" w:color="D7DEE8"/>
              <w:left w:val="single" w:sz="4" w:color="D7DEE8"/>
              <w:bottom w:val="single" w:sz="4" w:color="D7DEE8"/>
              <w:right w:val="single" w:sz="4" w:color="D7DEE8"/>
            </w:tcBorders>
          </w:tcPr>
          <w:p>
            <w:r>
              <w:rPr>
                <w:b/>
                <w:color w:val="FFFFFF"/>
                <w:sz w:val="16"/>
              </w:rPr>
              <w:t>Q2</w:t>
            </w:r>
          </w:p>
        </w:tc>
        <w:tc>
          <w:tcPr>
            <w:tcW w:type="dxa" w:w="1152"/>
            <w:vAlign w:val="center"/>
            <w:shd w:fill="17365D"/>
            <w:tcBorders>
              <w:top w:val="single" w:sz="4" w:color="D7DEE8"/>
              <w:left w:val="single" w:sz="4" w:color="D7DEE8"/>
              <w:bottom w:val="single" w:sz="4" w:color="D7DEE8"/>
              <w:right w:val="single" w:sz="4" w:color="D7DEE8"/>
            </w:tcBorders>
          </w:tcPr>
          <w:p>
            <w:r>
              <w:rPr>
                <w:b/>
                <w:color w:val="FFFFFF"/>
                <w:sz w:val="16"/>
              </w:rPr>
              <w:t>Q3</w:t>
            </w:r>
          </w:p>
        </w:tc>
        <w:tc>
          <w:tcPr>
            <w:tcW w:type="dxa" w:w="1152"/>
            <w:vAlign w:val="center"/>
            <w:shd w:fill="17365D"/>
            <w:tcBorders>
              <w:top w:val="single" w:sz="4" w:color="D7DEE8"/>
              <w:left w:val="single" w:sz="4" w:color="D7DEE8"/>
              <w:bottom w:val="single" w:sz="4" w:color="D7DEE8"/>
              <w:right w:val="single" w:sz="4" w:color="D7DEE8"/>
            </w:tcBorders>
          </w:tcPr>
          <w:p>
            <w:r>
              <w:rPr>
                <w:b/>
                <w:color w:val="FFFFFF"/>
                <w:sz w:val="16"/>
              </w:rPr>
              <w:t>Q4</w:t>
            </w:r>
          </w:p>
        </w:tc>
      </w:tr>
      <w:tr>
        <w:trPr>
          <w:cantSplit/>
        </w:trPr>
        <w:tc>
          <w:tcPr>
            <w:tcW w:type="dxa" w:w="3240"/>
            <w:vAlign w:val="center"/>
            <w:tcBorders>
              <w:top w:val="single" w:sz="4" w:color="D7DEE8"/>
              <w:left w:val="single" w:sz="4" w:color="D7DEE8"/>
              <w:bottom w:val="single" w:sz="4" w:color="D7DEE8"/>
              <w:right w:val="single" w:sz="4" w:color="D7DEE8"/>
            </w:tcBorders>
          </w:tcPr>
          <w:p>
            <w:pPr>
              <w:spacing w:after="0"/>
            </w:pPr>
            <w:r>
              <w:rPr>
                <w:sz w:val="16"/>
              </w:rPr>
              <w:t>Cloud applications</w:t>
            </w:r>
          </w:p>
        </w:tc>
        <w:tc>
          <w:tcPr>
            <w:tcW w:type="dxa" w:w="1152"/>
            <w:vAlign w:val="center"/>
            <w:tcBorders>
              <w:top w:val="single" w:sz="4" w:color="D7DEE8"/>
              <w:left w:val="single" w:sz="4" w:color="D7DEE8"/>
              <w:bottom w:val="single" w:sz="4" w:color="D7DEE8"/>
              <w:right w:val="single" w:sz="4" w:color="D7DEE8"/>
            </w:tcBorders>
          </w:tcPr>
          <w:p>
            <w:pPr>
              <w:spacing w:after="0"/>
            </w:pPr>
            <w:r>
              <w:rPr>
                <w:sz w:val="16"/>
              </w:rPr>
              <w:t>24.2%</w:t>
            </w:r>
          </w:p>
        </w:tc>
        <w:tc>
          <w:tcPr>
            <w:tcW w:type="dxa" w:w="1152"/>
            <w:vAlign w:val="center"/>
            <w:tcBorders>
              <w:top w:val="single" w:sz="4" w:color="D7DEE8"/>
              <w:left w:val="single" w:sz="4" w:color="D7DEE8"/>
              <w:bottom w:val="single" w:sz="4" w:color="D7DEE8"/>
              <w:right w:val="single" w:sz="4" w:color="D7DEE8"/>
            </w:tcBorders>
          </w:tcPr>
          <w:p>
            <w:pPr>
              <w:spacing w:after="0"/>
            </w:pPr>
            <w:r>
              <w:rPr>
                <w:sz w:val="16"/>
              </w:rPr>
              <w:t>24.5%</w:t>
            </w:r>
          </w:p>
        </w:tc>
        <w:tc>
          <w:tcPr>
            <w:tcW w:type="dxa" w:w="1152"/>
            <w:vAlign w:val="center"/>
            <w:tcBorders>
              <w:top w:val="single" w:sz="4" w:color="D7DEE8"/>
              <w:left w:val="single" w:sz="4" w:color="D7DEE8"/>
              <w:bottom w:val="single" w:sz="4" w:color="D7DEE8"/>
              <w:right w:val="single" w:sz="4" w:color="D7DEE8"/>
            </w:tcBorders>
          </w:tcPr>
          <w:p>
            <w:pPr>
              <w:spacing w:after="0"/>
            </w:pPr>
            <w:r>
              <w:rPr>
                <w:sz w:val="16"/>
              </w:rPr>
              <w:t>25.1%</w:t>
            </w:r>
          </w:p>
        </w:tc>
        <w:tc>
          <w:tcPr>
            <w:tcW w:type="dxa" w:w="1152"/>
            <w:vAlign w:val="center"/>
            <w:tcBorders>
              <w:top w:val="single" w:sz="4" w:color="D7DEE8"/>
              <w:left w:val="single" w:sz="4" w:color="D7DEE8"/>
              <w:bottom w:val="single" w:sz="4" w:color="D7DEE8"/>
              <w:right w:val="single" w:sz="4" w:color="D7DEE8"/>
            </w:tcBorders>
          </w:tcPr>
          <w:p>
            <w:pPr>
              <w:spacing w:after="0"/>
            </w:pPr>
            <w:r>
              <w:rPr>
                <w:sz w:val="16"/>
              </w:rPr>
              <w:t>26.1%</w:t>
            </w:r>
          </w:p>
        </w:tc>
      </w:tr>
      <w:tr>
        <w:trPr>
          <w:cantSplit/>
        </w:trPr>
        <w:tc>
          <w:tcPr>
            <w:tcW w:type="dxa" w:w="3240"/>
            <w:vAlign w:val="center"/>
            <w:shd w:fill="EEF5FB"/>
            <w:tcBorders>
              <w:top w:val="single" w:sz="4" w:color="D7DEE8"/>
              <w:left w:val="single" w:sz="4" w:color="D7DEE8"/>
              <w:bottom w:val="single" w:sz="4" w:color="D7DEE8"/>
              <w:right w:val="single" w:sz="4" w:color="D7DEE8"/>
            </w:tcBorders>
          </w:tcPr>
          <w:p>
            <w:pPr>
              <w:spacing w:after="0"/>
            </w:pPr>
            <w:r>
              <w:rPr>
                <w:sz w:val="16"/>
              </w:rPr>
              <w:t>OCI</w:t>
            </w:r>
          </w:p>
        </w:tc>
        <w:tc>
          <w:tcPr>
            <w:tcW w:type="dxa" w:w="1152"/>
            <w:vAlign w:val="center"/>
            <w:shd w:fill="EEF5FB"/>
            <w:tcBorders>
              <w:top w:val="single" w:sz="4" w:color="D7DEE8"/>
              <w:left w:val="single" w:sz="4" w:color="D7DEE8"/>
              <w:bottom w:val="single" w:sz="4" w:color="D7DEE8"/>
              <w:right w:val="single" w:sz="4" w:color="D7DEE8"/>
            </w:tcBorders>
          </w:tcPr>
          <w:p>
            <w:pPr>
              <w:spacing w:after="0"/>
            </w:pPr>
            <w:r>
              <w:rPr>
                <w:sz w:val="16"/>
              </w:rPr>
              <w:t>19.8%</w:t>
            </w:r>
          </w:p>
        </w:tc>
        <w:tc>
          <w:tcPr>
            <w:tcW w:type="dxa" w:w="1152"/>
            <w:vAlign w:val="center"/>
            <w:shd w:fill="EEF5FB"/>
            <w:tcBorders>
              <w:top w:val="single" w:sz="4" w:color="D7DEE8"/>
              <w:left w:val="single" w:sz="4" w:color="D7DEE8"/>
              <w:bottom w:val="single" w:sz="4" w:color="D7DEE8"/>
              <w:right w:val="single" w:sz="4" w:color="D7DEE8"/>
            </w:tcBorders>
          </w:tcPr>
          <w:p>
            <w:pPr>
              <w:spacing w:after="0"/>
            </w:pPr>
            <w:r>
              <w:rPr>
                <w:sz w:val="16"/>
              </w:rPr>
              <w:t>23.2%</w:t>
            </w:r>
          </w:p>
        </w:tc>
        <w:tc>
          <w:tcPr>
            <w:tcW w:type="dxa" w:w="1152"/>
            <w:vAlign w:val="center"/>
            <w:shd w:fill="EEF5FB"/>
            <w:tcBorders>
              <w:top w:val="single" w:sz="4" w:color="D7DEE8"/>
              <w:left w:val="single" w:sz="4" w:color="D7DEE8"/>
              <w:bottom w:val="single" w:sz="4" w:color="D7DEE8"/>
              <w:right w:val="single" w:sz="4" w:color="D7DEE8"/>
            </w:tcBorders>
          </w:tcPr>
          <w:p>
            <w:pPr>
              <w:spacing w:after="0"/>
            </w:pPr>
            <w:r>
              <w:rPr>
                <w:sz w:val="16"/>
              </w:rPr>
              <w:t>26.5%</w:t>
            </w:r>
          </w:p>
        </w:tc>
        <w:tc>
          <w:tcPr>
            <w:tcW w:type="dxa" w:w="1152"/>
            <w:vAlign w:val="center"/>
            <w:shd w:fill="EEF5FB"/>
            <w:tcBorders>
              <w:top w:val="single" w:sz="4" w:color="D7DEE8"/>
              <w:left w:val="single" w:sz="4" w:color="D7DEE8"/>
              <w:bottom w:val="single" w:sz="4" w:color="D7DEE8"/>
              <w:right w:val="single" w:sz="4" w:color="D7DEE8"/>
            </w:tcBorders>
          </w:tcPr>
          <w:p>
            <w:pPr>
              <w:spacing w:after="0"/>
            </w:pPr>
            <w:r>
              <w:rPr>
                <w:sz w:val="16"/>
              </w:rPr>
              <w:t>30.6%</w:t>
            </w:r>
          </w:p>
        </w:tc>
      </w:tr>
    </w:tbl>
    <w:p>
      <w:pPr>
        <w:spacing w:after="20"/>
      </w:pPr>
    </w:p>
    <w:p>
      <w:pPr>
        <w:pStyle w:val="ExecutiveBullet"/>
      </w:pPr>
      <w:r>
        <w:rPr>
          <w:b/>
        </w:rPr>
        <w:t xml:space="preserve">• </w:t>
      </w:r>
      <w:r>
        <w:t>Support is almost nonseasonal.</w:t>
      </w:r>
    </w:p>
    <w:p>
      <w:pPr>
        <w:pStyle w:val="ExecutiveBullet"/>
      </w:pPr>
      <w:r>
        <w:rPr>
          <w:b/>
        </w:rPr>
        <w:t xml:space="preserve">• </w:t>
      </w:r>
      <w:r>
        <w:t>Applications have modest Q4 weighting.</w:t>
      </w:r>
    </w:p>
    <w:p>
      <w:pPr>
        <w:pStyle w:val="ExecutiveBullet"/>
      </w:pPr>
      <w:r>
        <w:rPr>
          <w:b/>
        </w:rPr>
        <w:t xml:space="preserve">• </w:t>
      </w:r>
      <w:r>
        <w:t>License revenue is highly Q4 concentrated.</w:t>
      </w:r>
    </w:p>
    <w:p>
      <w:pPr>
        <w:pStyle w:val="ExecutiveBullet"/>
      </w:pPr>
      <w:r>
        <w:rPr>
          <w:b/>
        </w:rPr>
        <w:t xml:space="preserve">• </w:t>
      </w:r>
      <w:r>
        <w:t>OCI’s apparent seasonality is increasingly operational rather than calendrical.</w:t>
      </w:r>
    </w:p>
    <w:p>
      <w:pPr>
        <w:pStyle w:val="ExecutiveBullet"/>
      </w:pPr>
      <w:r>
        <w:rPr>
          <w:b/>
        </w:rPr>
        <w:t xml:space="preserve">• </w:t>
      </w:r>
      <w:r>
        <w:t>Total revenue seasonality will become less predictable as individual data-center openings become more material.</w:t>
      </w:r>
    </w:p>
    <w:tbl>
      <w:tblPr>
        <w:tblW w:type="auto" w:w="0"/>
        <w:jc w:val="center"/>
        <w:tblLook w:firstColumn="1" w:firstRow="1" w:lastColumn="0" w:lastRow="0" w:noHBand="0" w:noVBand="1" w:val="04A0"/>
      </w:tblPr>
      <w:tblGrid>
        <w:gridCol w:w="10166"/>
      </w:tblGrid>
      <w:tr>
        <w:trPr>
          <w:cantSplit/>
        </w:trPr>
        <w:tc>
          <w:tcPr>
            <w:tcW w:type="dxa" w:w="10166"/>
            <w:shd w:fill="D9EAF7"/>
            <w:tcBorders>
              <w:top w:val="single" w:sz="10" w:color="2F5597"/>
              <w:left w:val="single" w:sz="10" w:color="2F5597"/>
              <w:bottom w:val="single" w:sz="10" w:color="2F5597"/>
              <w:right w:val="single" w:sz="10" w:color="2F5597"/>
            </w:tcBorders>
          </w:tcPr>
          <w:p>
            <w:pPr>
              <w:spacing w:after="60"/>
            </w:pPr>
            <w:r>
              <w:rPr>
                <w:b/>
                <w:color w:val="17365D"/>
                <w:sz w:val="20"/>
              </w:rPr>
              <w:t>Modeling rule</w:t>
            </w:r>
          </w:p>
          <w:p>
            <w:pPr>
              <w:spacing w:after="20"/>
            </w:pPr>
            <w:r>
              <w:rPr>
                <w:sz w:val="18"/>
              </w:rPr>
              <w:t>For FY27 and FY28, site-specific capacity timing should override historical OCI seasonality whenever reliable information is available.</w:t>
            </w:r>
          </w:p>
        </w:tc>
      </w:tr>
    </w:tbl>
    <w:p>
      <w:pPr>
        <w:spacing w:after="20"/>
      </w:pPr>
    </w:p>
    <w:p>
      <w:pPr>
        <w:pStyle w:val="Heading1"/>
      </w:pPr>
      <w:r>
        <w:t>4. FY27 guidance feasibility</w:t>
      </w:r>
    </w:p>
    <w:p>
      <w:pPr>
        <w:pStyle w:val="Heading2"/>
      </w:pPr>
      <w:r>
        <w:t>Reported facts and management guidance</w:t>
      </w:r>
    </w:p>
    <w:tbl>
      <w:tblPr>
        <w:tblStyle w:val="TableGrid"/>
        <w:tblW w:type="auto" w:w="0"/>
        <w:jc w:val="center"/>
        <w:tblLayout w:type="fixed"/>
        <w:tblLook w:firstColumn="1" w:firstRow="1" w:lastColumn="0" w:lastRow="0" w:noHBand="0" w:noVBand="1" w:val="04A0"/>
      </w:tblPr>
      <w:tblGrid>
        <w:gridCol w:w="5083"/>
        <w:gridCol w:w="5083"/>
      </w:tblGrid>
      <w:tr>
        <w:trPr>
          <w:cantSplit/>
        </w:trPr>
        <w:tc>
          <w:tcPr>
            <w:tcW w:type="dxa" w:w="4032"/>
            <w:vAlign w:val="center"/>
            <w:shd w:fill="17365D"/>
            <w:tcBorders>
              <w:top w:val="single" w:sz="4" w:color="D7DEE8"/>
              <w:left w:val="single" w:sz="4" w:color="D7DEE8"/>
              <w:bottom w:val="single" w:sz="4" w:color="D7DEE8"/>
              <w:right w:val="single" w:sz="4" w:color="D7DEE8"/>
            </w:tcBorders>
          </w:tcPr>
          <w:p>
            <w:r>
              <w:rPr>
                <w:b/>
                <w:color w:val="FFFFFF"/>
                <w:sz w:val="16"/>
              </w:rPr>
              <w:t>Guidance item</w:t>
            </w:r>
          </w:p>
        </w:tc>
        <w:tc>
          <w:tcPr>
            <w:tcW w:type="dxa" w:w="6048"/>
            <w:vAlign w:val="center"/>
            <w:shd w:fill="17365D"/>
            <w:tcBorders>
              <w:top w:val="single" w:sz="4" w:color="D7DEE8"/>
              <w:left w:val="single" w:sz="4" w:color="D7DEE8"/>
              <w:bottom w:val="single" w:sz="4" w:color="D7DEE8"/>
              <w:right w:val="single" w:sz="4" w:color="D7DEE8"/>
            </w:tcBorders>
          </w:tcPr>
          <w:p>
            <w:r>
              <w:rPr>
                <w:b/>
                <w:color w:val="FFFFFF"/>
                <w:sz w:val="16"/>
              </w:rPr>
              <w:t>Management guidance</w:t>
            </w:r>
          </w:p>
        </w:tc>
      </w:tr>
      <w:tr>
        <w:trPr>
          <w:cantSplit/>
        </w:trPr>
        <w:tc>
          <w:tcPr>
            <w:tcW w:type="dxa" w:w="4032"/>
            <w:vAlign w:val="center"/>
            <w:tcBorders>
              <w:top w:val="single" w:sz="4" w:color="D7DEE8"/>
              <w:left w:val="single" w:sz="4" w:color="D7DEE8"/>
              <w:bottom w:val="single" w:sz="4" w:color="D7DEE8"/>
              <w:right w:val="single" w:sz="4" w:color="D7DEE8"/>
            </w:tcBorders>
          </w:tcPr>
          <w:p>
            <w:pPr>
              <w:spacing w:after="0"/>
            </w:pPr>
            <w:r>
              <w:rPr>
                <w:sz w:val="16"/>
              </w:rPr>
              <w:t>FY27 revenue</w:t>
            </w:r>
          </w:p>
        </w:tc>
        <w:tc>
          <w:tcPr>
            <w:tcW w:type="dxa" w:w="6048"/>
            <w:vAlign w:val="center"/>
            <w:tcBorders>
              <w:top w:val="single" w:sz="4" w:color="D7DEE8"/>
              <w:left w:val="single" w:sz="4" w:color="D7DEE8"/>
              <w:bottom w:val="single" w:sz="4" w:color="D7DEE8"/>
              <w:right w:val="single" w:sz="4" w:color="D7DEE8"/>
            </w:tcBorders>
          </w:tcPr>
          <w:p>
            <w:pPr>
              <w:spacing w:after="0"/>
            </w:pPr>
            <w:r>
              <w:rPr>
                <w:sz w:val="16"/>
              </w:rPr>
              <w:t>Approximately $90B</w:t>
            </w:r>
          </w:p>
        </w:tc>
      </w:tr>
      <w:tr>
        <w:trPr>
          <w:cantSplit/>
        </w:trPr>
        <w:tc>
          <w:tcPr>
            <w:tcW w:type="dxa" w:w="4032"/>
            <w:vAlign w:val="center"/>
            <w:shd w:fill="EEF5FB"/>
            <w:tcBorders>
              <w:top w:val="single" w:sz="4" w:color="D7DEE8"/>
              <w:left w:val="single" w:sz="4" w:color="D7DEE8"/>
              <w:bottom w:val="single" w:sz="4" w:color="D7DEE8"/>
              <w:right w:val="single" w:sz="4" w:color="D7DEE8"/>
            </w:tcBorders>
          </w:tcPr>
          <w:p>
            <w:pPr>
              <w:spacing w:after="0"/>
            </w:pPr>
            <w:r>
              <w:rPr>
                <w:sz w:val="16"/>
              </w:rPr>
              <w:t>FY27 non-GAAP EPS</w:t>
            </w:r>
          </w:p>
        </w:tc>
        <w:tc>
          <w:tcPr>
            <w:tcW w:type="dxa" w:w="6048"/>
            <w:vAlign w:val="center"/>
            <w:shd w:fill="EEF5FB"/>
            <w:tcBorders>
              <w:top w:val="single" w:sz="4" w:color="D7DEE8"/>
              <w:left w:val="single" w:sz="4" w:color="D7DEE8"/>
              <w:bottom w:val="single" w:sz="4" w:color="D7DEE8"/>
              <w:right w:val="single" w:sz="4" w:color="D7DEE8"/>
            </w:tcBorders>
          </w:tcPr>
          <w:p>
            <w:pPr>
              <w:spacing w:after="0"/>
            </w:pPr>
            <w:r>
              <w:rPr>
                <w:sz w:val="16"/>
              </w:rPr>
              <w:t>$8.05</w:t>
            </w:r>
          </w:p>
        </w:tc>
      </w:tr>
      <w:tr>
        <w:trPr>
          <w:cantSplit/>
        </w:trPr>
        <w:tc>
          <w:tcPr>
            <w:tcW w:type="dxa" w:w="4032"/>
            <w:vAlign w:val="center"/>
            <w:tcBorders>
              <w:top w:val="single" w:sz="4" w:color="D7DEE8"/>
              <w:left w:val="single" w:sz="4" w:color="D7DEE8"/>
              <w:bottom w:val="single" w:sz="4" w:color="D7DEE8"/>
              <w:right w:val="single" w:sz="4" w:color="D7DEE8"/>
            </w:tcBorders>
          </w:tcPr>
          <w:p>
            <w:pPr>
              <w:spacing w:after="0"/>
            </w:pPr>
            <w:r>
              <w:rPr>
                <w:sz w:val="16"/>
              </w:rPr>
              <w:t>FY27 Q1 revenue growth</w:t>
            </w:r>
          </w:p>
        </w:tc>
        <w:tc>
          <w:tcPr>
            <w:tcW w:type="dxa" w:w="6048"/>
            <w:vAlign w:val="center"/>
            <w:tcBorders>
              <w:top w:val="single" w:sz="4" w:color="D7DEE8"/>
              <w:left w:val="single" w:sz="4" w:color="D7DEE8"/>
              <w:bottom w:val="single" w:sz="4" w:color="D7DEE8"/>
              <w:right w:val="single" w:sz="4" w:color="D7DEE8"/>
            </w:tcBorders>
          </w:tcPr>
          <w:p>
            <w:pPr>
              <w:spacing w:after="0"/>
            </w:pPr>
            <w:r>
              <w:rPr>
                <w:sz w:val="16"/>
              </w:rPr>
              <w:t>27% to 29%</w:t>
            </w:r>
          </w:p>
        </w:tc>
      </w:tr>
      <w:tr>
        <w:trPr>
          <w:cantSplit/>
        </w:trPr>
        <w:tc>
          <w:tcPr>
            <w:tcW w:type="dxa" w:w="4032"/>
            <w:vAlign w:val="center"/>
            <w:shd w:fill="EEF5FB"/>
            <w:tcBorders>
              <w:top w:val="single" w:sz="4" w:color="D7DEE8"/>
              <w:left w:val="single" w:sz="4" w:color="D7DEE8"/>
              <w:bottom w:val="single" w:sz="4" w:color="D7DEE8"/>
              <w:right w:val="single" w:sz="4" w:color="D7DEE8"/>
            </w:tcBorders>
          </w:tcPr>
          <w:p>
            <w:pPr>
              <w:spacing w:after="0"/>
            </w:pPr>
            <w:r>
              <w:rPr>
                <w:sz w:val="16"/>
              </w:rPr>
              <w:t>FY27 Q1 cloud growth</w:t>
            </w:r>
          </w:p>
        </w:tc>
        <w:tc>
          <w:tcPr>
            <w:tcW w:type="dxa" w:w="6048"/>
            <w:vAlign w:val="center"/>
            <w:shd w:fill="EEF5FB"/>
            <w:tcBorders>
              <w:top w:val="single" w:sz="4" w:color="D7DEE8"/>
              <w:left w:val="single" w:sz="4" w:color="D7DEE8"/>
              <w:bottom w:val="single" w:sz="4" w:color="D7DEE8"/>
              <w:right w:val="single" w:sz="4" w:color="D7DEE8"/>
            </w:tcBorders>
          </w:tcPr>
          <w:p>
            <w:pPr>
              <w:spacing w:after="0"/>
            </w:pPr>
            <w:r>
              <w:rPr>
                <w:sz w:val="16"/>
              </w:rPr>
              <w:t>58% to 64%</w:t>
            </w:r>
          </w:p>
        </w:tc>
      </w:tr>
      <w:tr>
        <w:trPr>
          <w:cantSplit/>
        </w:trPr>
        <w:tc>
          <w:tcPr>
            <w:tcW w:type="dxa" w:w="4032"/>
            <w:vAlign w:val="center"/>
            <w:tcBorders>
              <w:top w:val="single" w:sz="4" w:color="D7DEE8"/>
              <w:left w:val="single" w:sz="4" w:color="D7DEE8"/>
              <w:bottom w:val="single" w:sz="4" w:color="D7DEE8"/>
              <w:right w:val="single" w:sz="4" w:color="D7DEE8"/>
            </w:tcBorders>
          </w:tcPr>
          <w:p>
            <w:pPr>
              <w:spacing w:after="0"/>
            </w:pPr>
            <w:r>
              <w:rPr>
                <w:sz w:val="16"/>
              </w:rPr>
              <w:t>FY27 Q1 non-GAAP EPS</w:t>
            </w:r>
          </w:p>
        </w:tc>
        <w:tc>
          <w:tcPr>
            <w:tcW w:type="dxa" w:w="6048"/>
            <w:vAlign w:val="center"/>
            <w:tcBorders>
              <w:top w:val="single" w:sz="4" w:color="D7DEE8"/>
              <w:left w:val="single" w:sz="4" w:color="D7DEE8"/>
              <w:bottom w:val="single" w:sz="4" w:color="D7DEE8"/>
              <w:right w:val="single" w:sz="4" w:color="D7DEE8"/>
            </w:tcBorders>
          </w:tcPr>
          <w:p>
            <w:pPr>
              <w:spacing w:after="0"/>
            </w:pPr>
            <w:r>
              <w:rPr>
                <w:sz w:val="16"/>
              </w:rPr>
              <w:t>$1.72 to $1.76</w:t>
            </w:r>
          </w:p>
        </w:tc>
      </w:tr>
      <w:tr>
        <w:trPr>
          <w:cantSplit/>
        </w:trPr>
        <w:tc>
          <w:tcPr>
            <w:tcW w:type="dxa" w:w="4032"/>
            <w:vAlign w:val="center"/>
            <w:shd w:fill="EEF5FB"/>
            <w:tcBorders>
              <w:top w:val="single" w:sz="4" w:color="D7DEE8"/>
              <w:left w:val="single" w:sz="4" w:color="D7DEE8"/>
              <w:bottom w:val="single" w:sz="4" w:color="D7DEE8"/>
              <w:right w:val="single" w:sz="4" w:color="D7DEE8"/>
            </w:tcBorders>
          </w:tcPr>
          <w:p>
            <w:pPr>
              <w:spacing w:after="0"/>
            </w:pPr>
            <w:r>
              <w:rPr>
                <w:sz w:val="16"/>
              </w:rPr>
              <w:t>FY27 net cash capex</w:t>
            </w:r>
          </w:p>
        </w:tc>
        <w:tc>
          <w:tcPr>
            <w:tcW w:type="dxa" w:w="6048"/>
            <w:vAlign w:val="center"/>
            <w:shd w:fill="EEF5FB"/>
            <w:tcBorders>
              <w:top w:val="single" w:sz="4" w:color="D7DEE8"/>
              <w:left w:val="single" w:sz="4" w:color="D7DEE8"/>
              <w:bottom w:val="single" w:sz="4" w:color="D7DEE8"/>
              <w:right w:val="single" w:sz="4" w:color="D7DEE8"/>
            </w:tcBorders>
          </w:tcPr>
          <w:p>
            <w:pPr>
              <w:spacing w:after="0"/>
            </w:pPr>
            <w:r>
              <w:rPr>
                <w:sz w:val="16"/>
              </w:rPr>
              <w:t>Approximately $70B</w:t>
            </w:r>
          </w:p>
        </w:tc>
      </w:tr>
      <w:tr>
        <w:trPr>
          <w:cantSplit/>
        </w:trPr>
        <w:tc>
          <w:tcPr>
            <w:tcW w:type="dxa" w:w="4032"/>
            <w:vAlign w:val="center"/>
            <w:tcBorders>
              <w:top w:val="single" w:sz="4" w:color="D7DEE8"/>
              <w:left w:val="single" w:sz="4" w:color="D7DEE8"/>
              <w:bottom w:val="single" w:sz="4" w:color="D7DEE8"/>
              <w:right w:val="single" w:sz="4" w:color="D7DEE8"/>
            </w:tcBorders>
          </w:tcPr>
          <w:p>
            <w:pPr>
              <w:spacing w:after="0"/>
            </w:pPr>
            <w:r>
              <w:rPr>
                <w:sz w:val="16"/>
              </w:rPr>
              <w:t>FY27 debt and equity financing</w:t>
            </w:r>
          </w:p>
        </w:tc>
        <w:tc>
          <w:tcPr>
            <w:tcW w:type="dxa" w:w="6048"/>
            <w:vAlign w:val="center"/>
            <w:tcBorders>
              <w:top w:val="single" w:sz="4" w:color="D7DEE8"/>
              <w:left w:val="single" w:sz="4" w:color="D7DEE8"/>
              <w:bottom w:val="single" w:sz="4" w:color="D7DEE8"/>
              <w:right w:val="single" w:sz="4" w:color="D7DEE8"/>
            </w:tcBorders>
          </w:tcPr>
          <w:p>
            <w:pPr>
              <w:spacing w:after="0"/>
            </w:pPr>
            <w:r>
              <w:rPr>
                <w:sz w:val="16"/>
              </w:rPr>
              <w:t>Approximately $40B, including up to $20B common-stock ATM</w:t>
            </w:r>
          </w:p>
        </w:tc>
      </w:tr>
    </w:tbl>
    <w:p>
      <w:pPr>
        <w:spacing w:after="20"/>
      </w:pPr>
    </w:p>
    <w:p>
      <w:pPr>
        <w:pStyle w:val="SourceNote"/>
      </w:pPr>
      <w:r>
        <w:rPr>
          <w:b/>
        </w:rPr>
        <w:t xml:space="preserve">Source: </w:t>
      </w:r>
      <w:r>
        <w:t>Oracle FY26 Q4 earnings release and call.</w:t>
      </w:r>
    </w:p>
    <w:p>
      <w:pPr>
        <w:pStyle w:val="Heading2"/>
      </w:pPr>
      <w:r>
        <w:t>Required growth</w:t>
      </w:r>
    </w:p>
    <w:p>
      <w:pPr>
        <w:pStyle w:val="Formula"/>
      </w:pPr>
      <w:r>
        <w:t>FY27 Revenue Growth = $90.0B ÷ $67.357B − 1 = 33.6%</w:t>
      </w:r>
      <w:r>
        <w:br/>
      </w:r>
      <w:r>
        <w:t>Q1 FY27 midpoint revenue = $14.926B × 1.28 = $19.105B</w:t>
      </w:r>
      <w:r>
        <w:br/>
      </w:r>
      <w:r>
        <w:t>Revenue required in FY27 Q2 through Q4 = $90.0B − $19.105B = $70.895B</w:t>
      </w:r>
      <w:r>
        <w:br/>
      </w:r>
      <w:r>
        <w:t>Required growth for remaining three quarters = $70.895B ÷ $52.432B − 1 = 35.2%</w:t>
      </w:r>
    </w:p>
    <w:p>
      <w:pPr>
        <w:pStyle w:val="Heading2"/>
      </w:pPr>
      <w:r>
        <w:t>Implied Q1 OCI requirement</w:t>
      </w:r>
    </w:p>
    <w:p>
      <w:r>
        <w:t>Q1 cloud guidance implies approximately $11.35 billion to $11.79 billion of cloud revenue. Assuming applications grow 10% to 12%, implied OCI revenue is approximately $7.05 billion to $7.56 billion, with a midpoint near $7.3 billion.</w:t>
      </w:r>
    </w:p>
    <w:tbl>
      <w:tblPr>
        <w:tblW w:type="auto" w:w="0"/>
        <w:jc w:val="center"/>
        <w:tblLook w:firstColumn="1" w:firstRow="1" w:lastColumn="0" w:lastRow="0" w:noHBand="0" w:noVBand="1" w:val="04A0"/>
      </w:tblPr>
      <w:tblGrid>
        <w:gridCol w:w="10166"/>
      </w:tblGrid>
      <w:tr>
        <w:trPr>
          <w:cantSplit/>
        </w:trPr>
        <w:tc>
          <w:tcPr>
            <w:tcW w:type="dxa" w:w="10166"/>
            <w:shd w:fill="D9EAF7"/>
            <w:tcBorders>
              <w:top w:val="single" w:sz="10" w:color="2F5597"/>
              <w:left w:val="single" w:sz="10" w:color="2F5597"/>
              <w:bottom w:val="single" w:sz="10" w:color="2F5597"/>
              <w:right w:val="single" w:sz="10" w:color="2F5597"/>
            </w:tcBorders>
          </w:tcPr>
          <w:p>
            <w:pPr>
              <w:spacing w:after="60"/>
            </w:pPr>
            <w:r>
              <w:rPr>
                <w:b/>
                <w:color w:val="17365D"/>
                <w:sz w:val="20"/>
              </w:rPr>
              <w:t>Inference</w:t>
            </w:r>
          </w:p>
          <w:p>
            <w:pPr>
              <w:spacing w:after="20"/>
            </w:pPr>
            <w:r>
              <w:rPr>
                <w:sz w:val="18"/>
              </w:rPr>
              <w:t>The midpoint implies roughly 118% OCI growth from FY26 Q1. Oracle’s FY27 target therefore requires a step-change in infrastructure revenue conversion, not merely continuation of prior growth.</w:t>
            </w:r>
          </w:p>
        </w:tc>
      </w:tr>
    </w:tbl>
    <w:p>
      <w:pPr>
        <w:spacing w:after="20"/>
      </w:pPr>
    </w:p>
    <w:p>
      <w:pPr>
        <w:pStyle w:val="Heading2"/>
      </w:pPr>
      <w:r>
        <w:t>Illustrative FY27 revenue bridge</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cantSplit/>
        </w:trPr>
        <w:tc>
          <w:tcPr>
            <w:tcW w:type="dxa" w:w="2160"/>
            <w:vAlign w:val="center"/>
            <w:shd w:fill="17365D"/>
            <w:tcBorders>
              <w:top w:val="single" w:sz="4" w:color="D7DEE8"/>
              <w:left w:val="single" w:sz="4" w:color="D7DEE8"/>
              <w:bottom w:val="single" w:sz="4" w:color="D7DEE8"/>
              <w:right w:val="single" w:sz="4" w:color="D7DEE8"/>
            </w:tcBorders>
          </w:tcPr>
          <w:p>
            <w:r>
              <w:rPr>
                <w:b/>
                <w:color w:val="FFFFFF"/>
                <w:sz w:val="16"/>
              </w:rPr>
              <w:t>Revenue category</w:t>
            </w:r>
          </w:p>
        </w:tc>
        <w:tc>
          <w:tcPr>
            <w:tcW w:type="dxa" w:w="1512"/>
            <w:vAlign w:val="center"/>
            <w:shd w:fill="17365D"/>
            <w:tcBorders>
              <w:top w:val="single" w:sz="4" w:color="D7DEE8"/>
              <w:left w:val="single" w:sz="4" w:color="D7DEE8"/>
              <w:bottom w:val="single" w:sz="4" w:color="D7DEE8"/>
              <w:right w:val="single" w:sz="4" w:color="D7DEE8"/>
            </w:tcBorders>
          </w:tcPr>
          <w:p>
            <w:r>
              <w:rPr>
                <w:b/>
                <w:color w:val="FFFFFF"/>
                <w:sz w:val="16"/>
              </w:rPr>
              <w:t>FY26 actual</w:t>
            </w:r>
          </w:p>
        </w:tc>
        <w:tc>
          <w:tcPr>
            <w:tcW w:type="dxa" w:w="1512"/>
            <w:vAlign w:val="center"/>
            <w:shd w:fill="17365D"/>
            <w:tcBorders>
              <w:top w:val="single" w:sz="4" w:color="D7DEE8"/>
              <w:left w:val="single" w:sz="4" w:color="D7DEE8"/>
              <w:bottom w:val="single" w:sz="4" w:color="D7DEE8"/>
              <w:right w:val="single" w:sz="4" w:color="D7DEE8"/>
            </w:tcBorders>
          </w:tcPr>
          <w:p>
            <w:r>
              <w:rPr>
                <w:b/>
                <w:color w:val="FFFFFF"/>
                <w:sz w:val="16"/>
              </w:rPr>
              <w:t>Bear FY27</w:t>
            </w:r>
          </w:p>
        </w:tc>
        <w:tc>
          <w:tcPr>
            <w:tcW w:type="dxa" w:w="1512"/>
            <w:vAlign w:val="center"/>
            <w:shd w:fill="17365D"/>
            <w:tcBorders>
              <w:top w:val="single" w:sz="4" w:color="D7DEE8"/>
              <w:left w:val="single" w:sz="4" w:color="D7DEE8"/>
              <w:bottom w:val="single" w:sz="4" w:color="D7DEE8"/>
              <w:right w:val="single" w:sz="4" w:color="D7DEE8"/>
            </w:tcBorders>
          </w:tcPr>
          <w:p>
            <w:r>
              <w:rPr>
                <w:b/>
                <w:color w:val="FFFFFF"/>
                <w:sz w:val="16"/>
              </w:rPr>
              <w:t>Base FY27</w:t>
            </w:r>
          </w:p>
        </w:tc>
        <w:tc>
          <w:tcPr>
            <w:tcW w:type="dxa" w:w="1512"/>
            <w:vAlign w:val="center"/>
            <w:shd w:fill="17365D"/>
            <w:tcBorders>
              <w:top w:val="single" w:sz="4" w:color="D7DEE8"/>
              <w:left w:val="single" w:sz="4" w:color="D7DEE8"/>
              <w:bottom w:val="single" w:sz="4" w:color="D7DEE8"/>
              <w:right w:val="single" w:sz="4" w:color="D7DEE8"/>
            </w:tcBorders>
          </w:tcPr>
          <w:p>
            <w:r>
              <w:rPr>
                <w:b/>
                <w:color w:val="FFFFFF"/>
                <w:sz w:val="16"/>
              </w:rPr>
              <w:t>Bull FY27</w:t>
            </w:r>
          </w:p>
        </w:tc>
      </w:tr>
      <w:tr>
        <w:trPr>
          <w:cantSplit/>
        </w:trPr>
        <w:tc>
          <w:tcPr>
            <w:tcW w:type="dxa" w:w="2160"/>
            <w:vAlign w:val="center"/>
            <w:tcBorders>
              <w:top w:val="single" w:sz="4" w:color="D7DEE8"/>
              <w:left w:val="single" w:sz="4" w:color="D7DEE8"/>
              <w:bottom w:val="single" w:sz="4" w:color="D7DEE8"/>
              <w:right w:val="single" w:sz="4" w:color="D7DEE8"/>
            </w:tcBorders>
          </w:tcPr>
          <w:p>
            <w:pPr>
              <w:spacing w:after="0"/>
            </w:pPr>
            <w:r>
              <w:rPr>
                <w:sz w:val="16"/>
              </w:rPr>
              <w:t>OCI</w:t>
            </w:r>
          </w:p>
        </w:tc>
        <w:tc>
          <w:tcPr>
            <w:tcW w:type="dxa" w:w="1512"/>
            <w:vAlign w:val="center"/>
            <w:tcBorders>
              <w:top w:val="single" w:sz="4" w:color="D7DEE8"/>
              <w:left w:val="single" w:sz="4" w:color="D7DEE8"/>
              <w:bottom w:val="single" w:sz="4" w:color="D7DEE8"/>
              <w:right w:val="single" w:sz="4" w:color="D7DEE8"/>
            </w:tcBorders>
          </w:tcPr>
          <w:p>
            <w:pPr>
              <w:spacing w:after="0"/>
            </w:pPr>
            <w:r>
              <w:rPr>
                <w:sz w:val="16"/>
              </w:rPr>
              <w:t>$18.1B</w:t>
            </w:r>
          </w:p>
        </w:tc>
        <w:tc>
          <w:tcPr>
            <w:tcW w:type="dxa" w:w="1512"/>
            <w:vAlign w:val="center"/>
            <w:tcBorders>
              <w:top w:val="single" w:sz="4" w:color="D7DEE8"/>
              <w:left w:val="single" w:sz="4" w:color="D7DEE8"/>
              <w:bottom w:val="single" w:sz="4" w:color="D7DEE8"/>
              <w:right w:val="single" w:sz="4" w:color="D7DEE8"/>
            </w:tcBorders>
          </w:tcPr>
          <w:p>
            <w:pPr>
              <w:spacing w:after="0"/>
            </w:pPr>
            <w:r>
              <w:rPr>
                <w:sz w:val="16"/>
              </w:rPr>
              <w:t>$35.0B</w:t>
            </w:r>
          </w:p>
        </w:tc>
        <w:tc>
          <w:tcPr>
            <w:tcW w:type="dxa" w:w="1512"/>
            <w:vAlign w:val="center"/>
            <w:tcBorders>
              <w:top w:val="single" w:sz="4" w:color="D7DEE8"/>
              <w:left w:val="single" w:sz="4" w:color="D7DEE8"/>
              <w:bottom w:val="single" w:sz="4" w:color="D7DEE8"/>
              <w:right w:val="single" w:sz="4" w:color="D7DEE8"/>
            </w:tcBorders>
          </w:tcPr>
          <w:p>
            <w:pPr>
              <w:spacing w:after="0"/>
            </w:pPr>
            <w:r>
              <w:rPr>
                <w:sz w:val="16"/>
              </w:rPr>
              <w:t>$39.0B</w:t>
            </w:r>
          </w:p>
        </w:tc>
        <w:tc>
          <w:tcPr>
            <w:tcW w:type="dxa" w:w="1512"/>
            <w:vAlign w:val="center"/>
            <w:tcBorders>
              <w:top w:val="single" w:sz="4" w:color="D7DEE8"/>
              <w:left w:val="single" w:sz="4" w:color="D7DEE8"/>
              <w:bottom w:val="single" w:sz="4" w:color="D7DEE8"/>
              <w:right w:val="single" w:sz="4" w:color="D7DEE8"/>
            </w:tcBorders>
          </w:tcPr>
          <w:p>
            <w:pPr>
              <w:spacing w:after="0"/>
            </w:pPr>
            <w:r>
              <w:rPr>
                <w:sz w:val="16"/>
              </w:rPr>
              <w:t>$42.5B</w:t>
            </w:r>
          </w:p>
        </w:tc>
      </w:tr>
      <w:tr>
        <w:trPr>
          <w:cantSplit/>
        </w:trPr>
        <w:tc>
          <w:tcPr>
            <w:tcW w:type="dxa" w:w="2160"/>
            <w:vAlign w:val="center"/>
            <w:shd w:fill="EEF5FB"/>
            <w:tcBorders>
              <w:top w:val="single" w:sz="4" w:color="D7DEE8"/>
              <w:left w:val="single" w:sz="4" w:color="D7DEE8"/>
              <w:bottom w:val="single" w:sz="4" w:color="D7DEE8"/>
              <w:right w:val="single" w:sz="4" w:color="D7DEE8"/>
            </w:tcBorders>
          </w:tcPr>
          <w:p>
            <w:pPr>
              <w:spacing w:after="0"/>
            </w:pPr>
            <w:r>
              <w:rPr>
                <w:sz w:val="16"/>
              </w:rPr>
              <w:t>Applications</w:t>
            </w:r>
          </w:p>
        </w:tc>
        <w:tc>
          <w:tcPr>
            <w:tcW w:type="dxa" w:w="1512"/>
            <w:vAlign w:val="center"/>
            <w:shd w:fill="EEF5FB"/>
            <w:tcBorders>
              <w:top w:val="single" w:sz="4" w:color="D7DEE8"/>
              <w:left w:val="single" w:sz="4" w:color="D7DEE8"/>
              <w:bottom w:val="single" w:sz="4" w:color="D7DEE8"/>
              <w:right w:val="single" w:sz="4" w:color="D7DEE8"/>
            </w:tcBorders>
          </w:tcPr>
          <w:p>
            <w:pPr>
              <w:spacing w:after="0"/>
            </w:pPr>
            <w:r>
              <w:rPr>
                <w:sz w:val="16"/>
              </w:rPr>
              <w:t>$15.9B</w:t>
            </w:r>
          </w:p>
        </w:tc>
        <w:tc>
          <w:tcPr>
            <w:tcW w:type="dxa" w:w="1512"/>
            <w:vAlign w:val="center"/>
            <w:shd w:fill="EEF5FB"/>
            <w:tcBorders>
              <w:top w:val="single" w:sz="4" w:color="D7DEE8"/>
              <w:left w:val="single" w:sz="4" w:color="D7DEE8"/>
              <w:bottom w:val="single" w:sz="4" w:color="D7DEE8"/>
              <w:right w:val="single" w:sz="4" w:color="D7DEE8"/>
            </w:tcBorders>
          </w:tcPr>
          <w:p>
            <w:pPr>
              <w:spacing w:after="0"/>
            </w:pPr>
            <w:r>
              <w:rPr>
                <w:sz w:val="16"/>
              </w:rPr>
              <w:t>$17.2B</w:t>
            </w:r>
          </w:p>
        </w:tc>
        <w:tc>
          <w:tcPr>
            <w:tcW w:type="dxa" w:w="1512"/>
            <w:vAlign w:val="center"/>
            <w:shd w:fill="EEF5FB"/>
            <w:tcBorders>
              <w:top w:val="single" w:sz="4" w:color="D7DEE8"/>
              <w:left w:val="single" w:sz="4" w:color="D7DEE8"/>
              <w:bottom w:val="single" w:sz="4" w:color="D7DEE8"/>
              <w:right w:val="single" w:sz="4" w:color="D7DEE8"/>
            </w:tcBorders>
          </w:tcPr>
          <w:p>
            <w:pPr>
              <w:spacing w:after="0"/>
            </w:pPr>
            <w:r>
              <w:rPr>
                <w:sz w:val="16"/>
              </w:rPr>
              <w:t>$17.6B</w:t>
            </w:r>
          </w:p>
        </w:tc>
        <w:tc>
          <w:tcPr>
            <w:tcW w:type="dxa" w:w="1512"/>
            <w:vAlign w:val="center"/>
            <w:shd w:fill="EEF5FB"/>
            <w:tcBorders>
              <w:top w:val="single" w:sz="4" w:color="D7DEE8"/>
              <w:left w:val="single" w:sz="4" w:color="D7DEE8"/>
              <w:bottom w:val="single" w:sz="4" w:color="D7DEE8"/>
              <w:right w:val="single" w:sz="4" w:color="D7DEE8"/>
            </w:tcBorders>
          </w:tcPr>
          <w:p>
            <w:pPr>
              <w:spacing w:after="0"/>
            </w:pPr>
            <w:r>
              <w:rPr>
                <w:sz w:val="16"/>
              </w:rPr>
              <w:t>$18.3B</w:t>
            </w:r>
          </w:p>
        </w:tc>
      </w:tr>
      <w:tr>
        <w:trPr>
          <w:cantSplit/>
        </w:trPr>
        <w:tc>
          <w:tcPr>
            <w:tcW w:type="dxa" w:w="2160"/>
            <w:vAlign w:val="center"/>
            <w:tcBorders>
              <w:top w:val="single" w:sz="4" w:color="D7DEE8"/>
              <w:left w:val="single" w:sz="4" w:color="D7DEE8"/>
              <w:bottom w:val="single" w:sz="4" w:color="D7DEE8"/>
              <w:right w:val="single" w:sz="4" w:color="D7DEE8"/>
            </w:tcBorders>
          </w:tcPr>
          <w:p>
            <w:pPr>
              <w:spacing w:after="0"/>
            </w:pPr>
            <w:r>
              <w:rPr>
                <w:sz w:val="16"/>
              </w:rPr>
              <w:t>Support</w:t>
            </w:r>
          </w:p>
        </w:tc>
        <w:tc>
          <w:tcPr>
            <w:tcW w:type="dxa" w:w="1512"/>
            <w:vAlign w:val="center"/>
            <w:tcBorders>
              <w:top w:val="single" w:sz="4" w:color="D7DEE8"/>
              <w:left w:val="single" w:sz="4" w:color="D7DEE8"/>
              <w:bottom w:val="single" w:sz="4" w:color="D7DEE8"/>
              <w:right w:val="single" w:sz="4" w:color="D7DEE8"/>
            </w:tcBorders>
          </w:tcPr>
          <w:p>
            <w:pPr>
              <w:spacing w:after="0"/>
            </w:pPr>
            <w:r>
              <w:rPr>
                <w:sz w:val="16"/>
              </w:rPr>
              <w:t>$19.8B</w:t>
            </w:r>
          </w:p>
        </w:tc>
        <w:tc>
          <w:tcPr>
            <w:tcW w:type="dxa" w:w="1512"/>
            <w:vAlign w:val="center"/>
            <w:tcBorders>
              <w:top w:val="single" w:sz="4" w:color="D7DEE8"/>
              <w:left w:val="single" w:sz="4" w:color="D7DEE8"/>
              <w:bottom w:val="single" w:sz="4" w:color="D7DEE8"/>
              <w:right w:val="single" w:sz="4" w:color="D7DEE8"/>
            </w:tcBorders>
          </w:tcPr>
          <w:p>
            <w:pPr>
              <w:spacing w:after="0"/>
            </w:pPr>
            <w:r>
              <w:rPr>
                <w:sz w:val="16"/>
              </w:rPr>
              <w:t>$19.7B</w:t>
            </w:r>
          </w:p>
        </w:tc>
        <w:tc>
          <w:tcPr>
            <w:tcW w:type="dxa" w:w="1512"/>
            <w:vAlign w:val="center"/>
            <w:tcBorders>
              <w:top w:val="single" w:sz="4" w:color="D7DEE8"/>
              <w:left w:val="single" w:sz="4" w:color="D7DEE8"/>
              <w:bottom w:val="single" w:sz="4" w:color="D7DEE8"/>
              <w:right w:val="single" w:sz="4" w:color="D7DEE8"/>
            </w:tcBorders>
          </w:tcPr>
          <w:p>
            <w:pPr>
              <w:spacing w:after="0"/>
            </w:pPr>
            <w:r>
              <w:rPr>
                <w:sz w:val="16"/>
              </w:rPr>
              <w:t>$19.9B</w:t>
            </w:r>
          </w:p>
        </w:tc>
        <w:tc>
          <w:tcPr>
            <w:tcW w:type="dxa" w:w="1512"/>
            <w:vAlign w:val="center"/>
            <w:tcBorders>
              <w:top w:val="single" w:sz="4" w:color="D7DEE8"/>
              <w:left w:val="single" w:sz="4" w:color="D7DEE8"/>
              <w:bottom w:val="single" w:sz="4" w:color="D7DEE8"/>
              <w:right w:val="single" w:sz="4" w:color="D7DEE8"/>
            </w:tcBorders>
          </w:tcPr>
          <w:p>
            <w:pPr>
              <w:spacing w:after="0"/>
            </w:pPr>
            <w:r>
              <w:rPr>
                <w:sz w:val="16"/>
              </w:rPr>
              <w:t>$20.0B</w:t>
            </w:r>
          </w:p>
        </w:tc>
      </w:tr>
      <w:tr>
        <w:trPr>
          <w:cantSplit/>
        </w:trPr>
        <w:tc>
          <w:tcPr>
            <w:tcW w:type="dxa" w:w="2160"/>
            <w:vAlign w:val="center"/>
            <w:shd w:fill="EEF5FB"/>
            <w:tcBorders>
              <w:top w:val="single" w:sz="4" w:color="D7DEE8"/>
              <w:left w:val="single" w:sz="4" w:color="D7DEE8"/>
              <w:bottom w:val="single" w:sz="4" w:color="D7DEE8"/>
              <w:right w:val="single" w:sz="4" w:color="D7DEE8"/>
            </w:tcBorders>
          </w:tcPr>
          <w:p>
            <w:pPr>
              <w:spacing w:after="0"/>
            </w:pPr>
            <w:r>
              <w:rPr>
                <w:sz w:val="16"/>
              </w:rPr>
              <w:t>Licenses</w:t>
            </w:r>
          </w:p>
        </w:tc>
        <w:tc>
          <w:tcPr>
            <w:tcW w:type="dxa" w:w="1512"/>
            <w:vAlign w:val="center"/>
            <w:shd w:fill="EEF5FB"/>
            <w:tcBorders>
              <w:top w:val="single" w:sz="4" w:color="D7DEE8"/>
              <w:left w:val="single" w:sz="4" w:color="D7DEE8"/>
              <w:bottom w:val="single" w:sz="4" w:color="D7DEE8"/>
              <w:right w:val="single" w:sz="4" w:color="D7DEE8"/>
            </w:tcBorders>
          </w:tcPr>
          <w:p>
            <w:pPr>
              <w:spacing w:after="0"/>
            </w:pPr>
            <w:r>
              <w:rPr>
                <w:sz w:val="16"/>
              </w:rPr>
              <w:t>$4.7B</w:t>
            </w:r>
          </w:p>
        </w:tc>
        <w:tc>
          <w:tcPr>
            <w:tcW w:type="dxa" w:w="1512"/>
            <w:vAlign w:val="center"/>
            <w:shd w:fill="EEF5FB"/>
            <w:tcBorders>
              <w:top w:val="single" w:sz="4" w:color="D7DEE8"/>
              <w:left w:val="single" w:sz="4" w:color="D7DEE8"/>
              <w:bottom w:val="single" w:sz="4" w:color="D7DEE8"/>
              <w:right w:val="single" w:sz="4" w:color="D7DEE8"/>
            </w:tcBorders>
          </w:tcPr>
          <w:p>
            <w:pPr>
              <w:spacing w:after="0"/>
            </w:pPr>
            <w:r>
              <w:rPr>
                <w:sz w:val="16"/>
              </w:rPr>
              <w:t>$4.3B</w:t>
            </w:r>
          </w:p>
        </w:tc>
        <w:tc>
          <w:tcPr>
            <w:tcW w:type="dxa" w:w="1512"/>
            <w:vAlign w:val="center"/>
            <w:shd w:fill="EEF5FB"/>
            <w:tcBorders>
              <w:top w:val="single" w:sz="4" w:color="D7DEE8"/>
              <w:left w:val="single" w:sz="4" w:color="D7DEE8"/>
              <w:bottom w:val="single" w:sz="4" w:color="D7DEE8"/>
              <w:right w:val="single" w:sz="4" w:color="D7DEE8"/>
            </w:tcBorders>
          </w:tcPr>
          <w:p>
            <w:pPr>
              <w:spacing w:after="0"/>
            </w:pPr>
            <w:r>
              <w:rPr>
                <w:sz w:val="16"/>
              </w:rPr>
              <w:t>$4.5B</w:t>
            </w:r>
          </w:p>
        </w:tc>
        <w:tc>
          <w:tcPr>
            <w:tcW w:type="dxa" w:w="1512"/>
            <w:vAlign w:val="center"/>
            <w:shd w:fill="EEF5FB"/>
            <w:tcBorders>
              <w:top w:val="single" w:sz="4" w:color="D7DEE8"/>
              <w:left w:val="single" w:sz="4" w:color="D7DEE8"/>
              <w:bottom w:val="single" w:sz="4" w:color="D7DEE8"/>
              <w:right w:val="single" w:sz="4" w:color="D7DEE8"/>
            </w:tcBorders>
          </w:tcPr>
          <w:p>
            <w:pPr>
              <w:spacing w:after="0"/>
            </w:pPr>
            <w:r>
              <w:rPr>
                <w:sz w:val="16"/>
              </w:rPr>
              <w:t>$4.7B</w:t>
            </w:r>
          </w:p>
        </w:tc>
      </w:tr>
      <w:tr>
        <w:trPr>
          <w:cantSplit/>
        </w:trPr>
        <w:tc>
          <w:tcPr>
            <w:tcW w:type="dxa" w:w="2160"/>
            <w:vAlign w:val="center"/>
            <w:tcBorders>
              <w:top w:val="single" w:sz="4" w:color="D7DEE8"/>
              <w:left w:val="single" w:sz="4" w:color="D7DEE8"/>
              <w:bottom w:val="single" w:sz="4" w:color="D7DEE8"/>
              <w:right w:val="single" w:sz="4" w:color="D7DEE8"/>
            </w:tcBorders>
          </w:tcPr>
          <w:p>
            <w:pPr>
              <w:spacing w:after="0"/>
            </w:pPr>
            <w:r>
              <w:rPr>
                <w:sz w:val="16"/>
              </w:rPr>
              <w:t>Hardware</w:t>
            </w:r>
          </w:p>
        </w:tc>
        <w:tc>
          <w:tcPr>
            <w:tcW w:type="dxa" w:w="1512"/>
            <w:vAlign w:val="center"/>
            <w:tcBorders>
              <w:top w:val="single" w:sz="4" w:color="D7DEE8"/>
              <w:left w:val="single" w:sz="4" w:color="D7DEE8"/>
              <w:bottom w:val="single" w:sz="4" w:color="D7DEE8"/>
              <w:right w:val="single" w:sz="4" w:color="D7DEE8"/>
            </w:tcBorders>
          </w:tcPr>
          <w:p>
            <w:pPr>
              <w:spacing w:after="0"/>
            </w:pPr>
            <w:r>
              <w:rPr>
                <w:sz w:val="16"/>
              </w:rPr>
              <w:t>$3.1B</w:t>
            </w:r>
          </w:p>
        </w:tc>
        <w:tc>
          <w:tcPr>
            <w:tcW w:type="dxa" w:w="1512"/>
            <w:vAlign w:val="center"/>
            <w:tcBorders>
              <w:top w:val="single" w:sz="4" w:color="D7DEE8"/>
              <w:left w:val="single" w:sz="4" w:color="D7DEE8"/>
              <w:bottom w:val="single" w:sz="4" w:color="D7DEE8"/>
              <w:right w:val="single" w:sz="4" w:color="D7DEE8"/>
            </w:tcBorders>
          </w:tcPr>
          <w:p>
            <w:pPr>
              <w:spacing w:after="0"/>
            </w:pPr>
            <w:r>
              <w:rPr>
                <w:sz w:val="16"/>
              </w:rPr>
              <w:t>$3.0B</w:t>
            </w:r>
          </w:p>
        </w:tc>
        <w:tc>
          <w:tcPr>
            <w:tcW w:type="dxa" w:w="1512"/>
            <w:vAlign w:val="center"/>
            <w:tcBorders>
              <w:top w:val="single" w:sz="4" w:color="D7DEE8"/>
              <w:left w:val="single" w:sz="4" w:color="D7DEE8"/>
              <w:bottom w:val="single" w:sz="4" w:color="D7DEE8"/>
              <w:right w:val="single" w:sz="4" w:color="D7DEE8"/>
            </w:tcBorders>
          </w:tcPr>
          <w:p>
            <w:pPr>
              <w:spacing w:after="0"/>
            </w:pPr>
            <w:r>
              <w:rPr>
                <w:sz w:val="16"/>
              </w:rPr>
              <w:t>$3.2B</w:t>
            </w:r>
          </w:p>
        </w:tc>
        <w:tc>
          <w:tcPr>
            <w:tcW w:type="dxa" w:w="1512"/>
            <w:vAlign w:val="center"/>
            <w:tcBorders>
              <w:top w:val="single" w:sz="4" w:color="D7DEE8"/>
              <w:left w:val="single" w:sz="4" w:color="D7DEE8"/>
              <w:bottom w:val="single" w:sz="4" w:color="D7DEE8"/>
              <w:right w:val="single" w:sz="4" w:color="D7DEE8"/>
            </w:tcBorders>
          </w:tcPr>
          <w:p>
            <w:pPr>
              <w:spacing w:after="0"/>
            </w:pPr>
            <w:r>
              <w:rPr>
                <w:sz w:val="16"/>
              </w:rPr>
              <w:t>$3.3B</w:t>
            </w:r>
          </w:p>
        </w:tc>
      </w:tr>
      <w:tr>
        <w:trPr>
          <w:cantSplit/>
        </w:trPr>
        <w:tc>
          <w:tcPr>
            <w:tcW w:type="dxa" w:w="2160"/>
            <w:vAlign w:val="center"/>
            <w:shd w:fill="EEF5FB"/>
            <w:tcBorders>
              <w:top w:val="single" w:sz="4" w:color="D7DEE8"/>
              <w:left w:val="single" w:sz="4" w:color="D7DEE8"/>
              <w:bottom w:val="single" w:sz="4" w:color="D7DEE8"/>
              <w:right w:val="single" w:sz="4" w:color="D7DEE8"/>
            </w:tcBorders>
          </w:tcPr>
          <w:p>
            <w:pPr>
              <w:spacing w:after="0"/>
            </w:pPr>
            <w:r>
              <w:rPr>
                <w:sz w:val="16"/>
              </w:rPr>
              <w:t>Services</w:t>
            </w:r>
          </w:p>
        </w:tc>
        <w:tc>
          <w:tcPr>
            <w:tcW w:type="dxa" w:w="1512"/>
            <w:vAlign w:val="center"/>
            <w:shd w:fill="EEF5FB"/>
            <w:tcBorders>
              <w:top w:val="single" w:sz="4" w:color="D7DEE8"/>
              <w:left w:val="single" w:sz="4" w:color="D7DEE8"/>
              <w:bottom w:val="single" w:sz="4" w:color="D7DEE8"/>
              <w:right w:val="single" w:sz="4" w:color="D7DEE8"/>
            </w:tcBorders>
          </w:tcPr>
          <w:p>
            <w:pPr>
              <w:spacing w:after="0"/>
            </w:pPr>
            <w:r>
              <w:rPr>
                <w:sz w:val="16"/>
              </w:rPr>
              <w:t>$5.7B</w:t>
            </w:r>
          </w:p>
        </w:tc>
        <w:tc>
          <w:tcPr>
            <w:tcW w:type="dxa" w:w="1512"/>
            <w:vAlign w:val="center"/>
            <w:shd w:fill="EEF5FB"/>
            <w:tcBorders>
              <w:top w:val="single" w:sz="4" w:color="D7DEE8"/>
              <w:left w:val="single" w:sz="4" w:color="D7DEE8"/>
              <w:bottom w:val="single" w:sz="4" w:color="D7DEE8"/>
              <w:right w:val="single" w:sz="4" w:color="D7DEE8"/>
            </w:tcBorders>
          </w:tcPr>
          <w:p>
            <w:pPr>
              <w:spacing w:after="0"/>
            </w:pPr>
            <w:r>
              <w:rPr>
                <w:sz w:val="16"/>
              </w:rPr>
              <w:t>$6.0B</w:t>
            </w:r>
          </w:p>
        </w:tc>
        <w:tc>
          <w:tcPr>
            <w:tcW w:type="dxa" w:w="1512"/>
            <w:vAlign w:val="center"/>
            <w:shd w:fill="EEF5FB"/>
            <w:tcBorders>
              <w:top w:val="single" w:sz="4" w:color="D7DEE8"/>
              <w:left w:val="single" w:sz="4" w:color="D7DEE8"/>
              <w:bottom w:val="single" w:sz="4" w:color="D7DEE8"/>
              <w:right w:val="single" w:sz="4" w:color="D7DEE8"/>
            </w:tcBorders>
          </w:tcPr>
          <w:p>
            <w:pPr>
              <w:spacing w:after="0"/>
            </w:pPr>
            <w:r>
              <w:rPr>
                <w:sz w:val="16"/>
              </w:rPr>
              <w:t>$6.2B</w:t>
            </w:r>
          </w:p>
        </w:tc>
        <w:tc>
          <w:tcPr>
            <w:tcW w:type="dxa" w:w="1512"/>
            <w:vAlign w:val="center"/>
            <w:shd w:fill="EEF5FB"/>
            <w:tcBorders>
              <w:top w:val="single" w:sz="4" w:color="D7DEE8"/>
              <w:left w:val="single" w:sz="4" w:color="D7DEE8"/>
              <w:bottom w:val="single" w:sz="4" w:color="D7DEE8"/>
              <w:right w:val="single" w:sz="4" w:color="D7DEE8"/>
            </w:tcBorders>
          </w:tcPr>
          <w:p>
            <w:pPr>
              <w:spacing w:after="0"/>
            </w:pPr>
            <w:r>
              <w:rPr>
                <w:sz w:val="16"/>
              </w:rPr>
              <w:t>$6.4B</w:t>
            </w:r>
          </w:p>
        </w:tc>
      </w:tr>
      <w:tr>
        <w:trPr>
          <w:cantSplit/>
        </w:trPr>
        <w:tc>
          <w:tcPr>
            <w:tcW w:type="dxa" w:w="2160"/>
            <w:vAlign w:val="center"/>
            <w:tcBorders>
              <w:top w:val="single" w:sz="4" w:color="D7DEE8"/>
              <w:left w:val="single" w:sz="4" w:color="D7DEE8"/>
              <w:bottom w:val="single" w:sz="4" w:color="D7DEE8"/>
              <w:right w:val="single" w:sz="4" w:color="D7DEE8"/>
            </w:tcBorders>
          </w:tcPr>
          <w:p>
            <w:pPr>
              <w:spacing w:after="0"/>
            </w:pPr>
            <w:r>
              <w:rPr>
                <w:sz w:val="16"/>
              </w:rPr>
              <w:t>Total revenue</w:t>
            </w:r>
          </w:p>
        </w:tc>
        <w:tc>
          <w:tcPr>
            <w:tcW w:type="dxa" w:w="1512"/>
            <w:vAlign w:val="center"/>
            <w:tcBorders>
              <w:top w:val="single" w:sz="4" w:color="D7DEE8"/>
              <w:left w:val="single" w:sz="4" w:color="D7DEE8"/>
              <w:bottom w:val="single" w:sz="4" w:color="D7DEE8"/>
              <w:right w:val="single" w:sz="4" w:color="D7DEE8"/>
            </w:tcBorders>
          </w:tcPr>
          <w:p>
            <w:pPr>
              <w:spacing w:after="0"/>
            </w:pPr>
            <w:r>
              <w:rPr>
                <w:sz w:val="16"/>
              </w:rPr>
              <w:t>$67.4B</w:t>
            </w:r>
          </w:p>
        </w:tc>
        <w:tc>
          <w:tcPr>
            <w:tcW w:type="dxa" w:w="1512"/>
            <w:vAlign w:val="center"/>
            <w:tcBorders>
              <w:top w:val="single" w:sz="4" w:color="D7DEE8"/>
              <w:left w:val="single" w:sz="4" w:color="D7DEE8"/>
              <w:bottom w:val="single" w:sz="4" w:color="D7DEE8"/>
              <w:right w:val="single" w:sz="4" w:color="D7DEE8"/>
            </w:tcBorders>
          </w:tcPr>
          <w:p>
            <w:pPr>
              <w:spacing w:after="0"/>
            </w:pPr>
            <w:r>
              <w:rPr>
                <w:sz w:val="16"/>
              </w:rPr>
              <w:t>$85.0B</w:t>
            </w:r>
          </w:p>
        </w:tc>
        <w:tc>
          <w:tcPr>
            <w:tcW w:type="dxa" w:w="1512"/>
            <w:vAlign w:val="center"/>
            <w:tcBorders>
              <w:top w:val="single" w:sz="4" w:color="D7DEE8"/>
              <w:left w:val="single" w:sz="4" w:color="D7DEE8"/>
              <w:bottom w:val="single" w:sz="4" w:color="D7DEE8"/>
              <w:right w:val="single" w:sz="4" w:color="D7DEE8"/>
            </w:tcBorders>
          </w:tcPr>
          <w:p>
            <w:pPr>
              <w:spacing w:after="0"/>
            </w:pPr>
            <w:r>
              <w:rPr>
                <w:sz w:val="16"/>
              </w:rPr>
              <w:t>$90.4B</w:t>
            </w:r>
          </w:p>
        </w:tc>
        <w:tc>
          <w:tcPr>
            <w:tcW w:type="dxa" w:w="1512"/>
            <w:vAlign w:val="center"/>
            <w:tcBorders>
              <w:top w:val="single" w:sz="4" w:color="D7DEE8"/>
              <w:left w:val="single" w:sz="4" w:color="D7DEE8"/>
              <w:bottom w:val="single" w:sz="4" w:color="D7DEE8"/>
              <w:right w:val="single" w:sz="4" w:color="D7DEE8"/>
            </w:tcBorders>
          </w:tcPr>
          <w:p>
            <w:pPr>
              <w:spacing w:after="0"/>
            </w:pPr>
            <w:r>
              <w:rPr>
                <w:sz w:val="16"/>
              </w:rPr>
              <w:t>$95.2B</w:t>
            </w:r>
          </w:p>
        </w:tc>
      </w:tr>
    </w:tbl>
    <w:p>
      <w:pPr>
        <w:spacing w:after="20"/>
      </w:pPr>
    </w:p>
    <w:p>
      <w:r>
        <w:t>Analytical assumption: unless applications, support or services accelerate materially beyond recent trends, Oracle likely needs approximately $38.5 billion to $39.5 billion of FY27 OCI revenue, representing roughly 113% to 118% growth.</w:t>
      </w:r>
    </w:p>
    <w:p>
      <w:pPr>
        <w:pStyle w:val="Heading2"/>
      </w:pPr>
      <w:r>
        <w:t>Operational requirements</w:t>
      </w:r>
    </w:p>
    <w:p>
      <w:pPr>
        <w:pStyle w:val="ExecutiveBullet"/>
      </w:pPr>
      <w:r>
        <w:rPr>
          <w:b/>
        </w:rPr>
        <w:t xml:space="preserve">• </w:t>
      </w:r>
      <w:r>
        <w:t>Q1 OCI growth near or above 110%.</w:t>
      </w:r>
    </w:p>
    <w:p>
      <w:pPr>
        <w:pStyle w:val="ExecutiveBullet"/>
      </w:pPr>
      <w:r>
        <w:rPr>
          <w:b/>
        </w:rPr>
        <w:t xml:space="preserve">• </w:t>
      </w:r>
      <w:r>
        <w:t>Another material capacity step-up in the second half.</w:t>
      </w:r>
    </w:p>
    <w:p>
      <w:pPr>
        <w:pStyle w:val="ExecutiveBullet"/>
      </w:pPr>
      <w:r>
        <w:rPr>
          <w:b/>
        </w:rPr>
        <w:t xml:space="preserve">• </w:t>
      </w:r>
      <w:r>
        <w:t>High utilization shortly after capacity enters service.</w:t>
      </w:r>
    </w:p>
    <w:p>
      <w:pPr>
        <w:pStyle w:val="ExecutiveBullet"/>
      </w:pPr>
      <w:r>
        <w:rPr>
          <w:b/>
        </w:rPr>
        <w:t xml:space="preserve">• </w:t>
      </w:r>
      <w:r>
        <w:t>No major power, construction or GPU-delivery delays.</w:t>
      </w:r>
    </w:p>
    <w:p>
      <w:pPr>
        <w:pStyle w:val="ExecutiveBullet"/>
      </w:pPr>
      <w:r>
        <w:rPr>
          <w:b/>
        </w:rPr>
        <w:t xml:space="preserve">• </w:t>
      </w:r>
      <w:r>
        <w:t>Customer contracts commencing on schedule.</w:t>
      </w:r>
    </w:p>
    <w:p>
      <w:pPr>
        <w:pStyle w:val="ExecutiveBullet"/>
      </w:pPr>
      <w:r>
        <w:rPr>
          <w:b/>
        </w:rPr>
        <w:t xml:space="preserve">• </w:t>
      </w:r>
      <w:r>
        <w:t>Applications maintaining low-double-digit growth.</w:t>
      </w:r>
    </w:p>
    <w:p>
      <w:pPr>
        <w:pStyle w:val="ExecutiveBullet"/>
      </w:pPr>
      <w:r>
        <w:rPr>
          <w:b/>
        </w:rPr>
        <w:t xml:space="preserve">• </w:t>
      </w:r>
      <w:r>
        <w:t>Legacy software and support remaining broadly stable.</w:t>
      </w:r>
    </w:p>
    <w:p>
      <w:pPr>
        <w:pStyle w:val="Heading2"/>
      </w:pPr>
      <w:r>
        <w:t>EPS requirement</w:t>
      </w:r>
    </w:p>
    <w:p>
      <w:r>
        <w:t>Using approximately 3.05 billion diluted shares, the $8.05 FY27 non-GAAP EPS guide implies about $24.6 billion of income available to common shareholders. Depending on interest expense, taxes and preferred dividends, Oracle may require roughly $36.5 billion to $37.5 billion of non-GAAP operating income, equivalent to approximately a 40% to 42% non-GAAP operating margin.</w:t>
      </w:r>
    </w:p>
    <w:p>
      <w:pPr>
        <w:pStyle w:val="SourceNote"/>
      </w:pPr>
      <w:r>
        <w:rPr>
          <w:b/>
        </w:rPr>
        <w:t xml:space="preserve">Source: </w:t>
      </w:r>
      <w:r>
        <w:t>Analytical inference based on management guidance. Recompute quarterly with actual shares, taxes, interest and preferred-dividend treatment.</w:t>
      </w:r>
    </w:p>
    <w:p>
      <w:pPr>
        <w:pStyle w:val="Heading1"/>
      </w:pPr>
      <w:r>
        <w:t>5. RPO, capacity, revenue and capital structure</w:t>
      </w:r>
    </w:p>
    <w:p>
      <w:pPr>
        <w:pStyle w:val="Heading2"/>
      </w:pPr>
      <w:r>
        <w:t>The operating chain</w:t>
      </w:r>
    </w:p>
    <w:p>
      <w:pPr>
        <w:pStyle w:val="Formula"/>
      </w:pPr>
      <w:r>
        <w:t>Signed Contract → RPO → Funding and Credit Support → Capacity Construction</w:t>
      </w:r>
      <w:r>
        <w:br/>
      </w:r>
      <w:r>
        <w:t>→ Capacity Placed in Service → Depreciation → Customer Activation → Revenue</w:t>
      </w:r>
      <w:r>
        <w:br/>
      </w:r>
      <w:r>
        <w:t>→ Utilization → Gross Profit → Operating Cash Flow → Debt Reduction or Further Investment</w:t>
      </w:r>
    </w:p>
    <w:p>
      <w:pPr>
        <w:pStyle w:val="Heading2"/>
      </w:pPr>
      <w:r>
        <w:t>RPO</w:t>
      </w:r>
    </w:p>
    <w:p>
      <w:pPr>
        <w:pStyle w:val="ExecutiveBullet"/>
      </w:pPr>
      <w:r>
        <w:rPr>
          <w:b/>
        </w:rPr>
        <w:t xml:space="preserve">• </w:t>
      </w:r>
      <w:r>
        <w:t>FY26 year-end RPO: $638B</w:t>
      </w:r>
    </w:p>
    <w:p>
      <w:pPr>
        <w:pStyle w:val="ExecutiveBullet"/>
      </w:pPr>
      <w:r>
        <w:rPr>
          <w:b/>
        </w:rPr>
        <w:t xml:space="preserve">• </w:t>
      </w:r>
      <w:r>
        <w:t>Year-over-year growth: 363%</w:t>
      </w:r>
    </w:p>
    <w:p>
      <w:pPr>
        <w:pStyle w:val="ExecutiveBullet"/>
      </w:pPr>
      <w:r>
        <w:rPr>
          <w:b/>
        </w:rPr>
        <w:t xml:space="preserve">• </w:t>
      </w:r>
      <w:r>
        <w:t>Sequential increase: $85B</w:t>
      </w:r>
    </w:p>
    <w:p>
      <w:pPr>
        <w:pStyle w:val="ExecutiveBullet"/>
      </w:pPr>
      <w:r>
        <w:rPr>
          <w:b/>
        </w:rPr>
        <w:t xml:space="preserve">• </w:t>
      </w:r>
      <w:r>
        <w:t>Approximately 12% expected to be recognized within twelve months</w:t>
      </w:r>
    </w:p>
    <w:p>
      <w:pPr>
        <w:pStyle w:val="ExecutiveBullet"/>
      </w:pPr>
      <w:r>
        <w:rPr>
          <w:b/>
        </w:rPr>
        <w:t xml:space="preserve">• </w:t>
      </w:r>
      <w:r>
        <w:t>Approximately 34% expected during months 13 through 36</w:t>
      </w:r>
    </w:p>
    <w:p>
      <w:pPr>
        <w:pStyle w:val="ExecutiveBullet"/>
      </w:pPr>
      <w:r>
        <w:rPr>
          <w:b/>
        </w:rPr>
        <w:t xml:space="preserve">• </w:t>
      </w:r>
      <w:r>
        <w:t>Approximately $75B associated with customer prepayments or customer-supplied hardware</w:t>
      </w:r>
    </w:p>
    <w:p>
      <w:r>
        <w:t>Twelve percent of RPO equals approximately $76.6 billion, but this is not equivalent to FY27 revenue. The recognition window does not perfectly align with Oracle’s fiscal year, capacity must be available, contract commencement and usage terms differ, and some arrangements may be modified.</w:t>
      </w:r>
    </w:p>
    <w:tbl>
      <w:tblPr>
        <w:tblStyle w:val="TableGrid"/>
        <w:tblW w:type="auto" w:w="0"/>
        <w:jc w:val="center"/>
        <w:tblLayout w:type="fixed"/>
        <w:tblLook w:firstColumn="1" w:firstRow="1" w:lastColumn="0" w:lastRow="0" w:noHBand="0" w:noVBand="1" w:val="04A0"/>
      </w:tblPr>
      <w:tblGrid>
        <w:gridCol w:w="1694"/>
        <w:gridCol w:w="1694"/>
        <w:gridCol w:w="1694"/>
        <w:gridCol w:w="1694"/>
        <w:gridCol w:w="1694"/>
        <w:gridCol w:w="1694"/>
      </w:tblGrid>
      <w:tr>
        <w:trPr>
          <w:cantSplit/>
        </w:trPr>
        <w:tc>
          <w:tcPr>
            <w:tcW w:type="dxa" w:w="2088"/>
            <w:vAlign w:val="center"/>
            <w:shd w:fill="17365D"/>
            <w:tcBorders>
              <w:top w:val="single" w:sz="4" w:color="D7DEE8"/>
              <w:left w:val="single" w:sz="4" w:color="D7DEE8"/>
              <w:bottom w:val="single" w:sz="4" w:color="D7DEE8"/>
              <w:right w:val="single" w:sz="4" w:color="D7DEE8"/>
            </w:tcBorders>
          </w:tcPr>
          <w:p>
            <w:r>
              <w:rPr>
                <w:b/>
                <w:color w:val="FFFFFF"/>
                <w:sz w:val="15"/>
              </w:rPr>
              <w:t>RPO bucket</w:t>
            </w:r>
          </w:p>
        </w:tc>
        <w:tc>
          <w:tcPr>
            <w:tcW w:type="dxa" w:w="1440"/>
            <w:vAlign w:val="center"/>
            <w:shd w:fill="17365D"/>
            <w:tcBorders>
              <w:top w:val="single" w:sz="4" w:color="D7DEE8"/>
              <w:left w:val="single" w:sz="4" w:color="D7DEE8"/>
              <w:bottom w:val="single" w:sz="4" w:color="D7DEE8"/>
              <w:right w:val="single" w:sz="4" w:color="D7DEE8"/>
            </w:tcBorders>
          </w:tcPr>
          <w:p>
            <w:r>
              <w:rPr>
                <w:b/>
                <w:color w:val="FFFFFF"/>
                <w:sz w:val="15"/>
              </w:rPr>
              <w:t>Beginning balance</w:t>
            </w:r>
          </w:p>
        </w:tc>
        <w:tc>
          <w:tcPr>
            <w:tcW w:type="dxa" w:w="1440"/>
            <w:vAlign w:val="center"/>
            <w:shd w:fill="17365D"/>
            <w:tcBorders>
              <w:top w:val="single" w:sz="4" w:color="D7DEE8"/>
              <w:left w:val="single" w:sz="4" w:color="D7DEE8"/>
              <w:bottom w:val="single" w:sz="4" w:color="D7DEE8"/>
              <w:right w:val="single" w:sz="4" w:color="D7DEE8"/>
            </w:tcBorders>
          </w:tcPr>
          <w:p>
            <w:r>
              <w:rPr>
                <w:b/>
                <w:color w:val="FFFFFF"/>
                <w:sz w:val="15"/>
              </w:rPr>
              <w:t>New bookings</w:t>
            </w:r>
          </w:p>
        </w:tc>
        <w:tc>
          <w:tcPr>
            <w:tcW w:type="dxa" w:w="1656"/>
            <w:vAlign w:val="center"/>
            <w:shd w:fill="17365D"/>
            <w:tcBorders>
              <w:top w:val="single" w:sz="4" w:color="D7DEE8"/>
              <w:left w:val="single" w:sz="4" w:color="D7DEE8"/>
              <w:bottom w:val="single" w:sz="4" w:color="D7DEE8"/>
              <w:right w:val="single" w:sz="4" w:color="D7DEE8"/>
            </w:tcBorders>
          </w:tcPr>
          <w:p>
            <w:r>
              <w:rPr>
                <w:b/>
                <w:color w:val="FFFFFF"/>
                <w:sz w:val="15"/>
              </w:rPr>
              <w:t>Revenue recognized</w:t>
            </w:r>
          </w:p>
        </w:tc>
        <w:tc>
          <w:tcPr>
            <w:tcW w:type="dxa" w:w="1440"/>
            <w:vAlign w:val="center"/>
            <w:shd w:fill="17365D"/>
            <w:tcBorders>
              <w:top w:val="single" w:sz="4" w:color="D7DEE8"/>
              <w:left w:val="single" w:sz="4" w:color="D7DEE8"/>
              <w:bottom w:val="single" w:sz="4" w:color="D7DEE8"/>
              <w:right w:val="single" w:sz="4" w:color="D7DEE8"/>
            </w:tcBorders>
          </w:tcPr>
          <w:p>
            <w:r>
              <w:rPr>
                <w:b/>
                <w:color w:val="FFFFFF"/>
                <w:sz w:val="15"/>
              </w:rPr>
              <w:t>Modifications</w:t>
            </w:r>
          </w:p>
        </w:tc>
        <w:tc>
          <w:tcPr>
            <w:tcW w:type="dxa" w:w="1440"/>
            <w:vAlign w:val="center"/>
            <w:shd w:fill="17365D"/>
            <w:tcBorders>
              <w:top w:val="single" w:sz="4" w:color="D7DEE8"/>
              <w:left w:val="single" w:sz="4" w:color="D7DEE8"/>
              <w:bottom w:val="single" w:sz="4" w:color="D7DEE8"/>
              <w:right w:val="single" w:sz="4" w:color="D7DEE8"/>
            </w:tcBorders>
          </w:tcPr>
          <w:p>
            <w:r>
              <w:rPr>
                <w:b/>
                <w:color w:val="FFFFFF"/>
                <w:sz w:val="15"/>
              </w:rPr>
              <w:t>Ending balance</w:t>
            </w:r>
          </w:p>
        </w:tc>
      </w:tr>
      <w:tr>
        <w:trPr>
          <w:cantSplit/>
        </w:trPr>
        <w:tc>
          <w:tcPr>
            <w:tcW w:type="dxa" w:w="2088"/>
            <w:vAlign w:val="center"/>
            <w:tcBorders>
              <w:top w:val="single" w:sz="4" w:color="D7DEE8"/>
              <w:left w:val="single" w:sz="4" w:color="D7DEE8"/>
              <w:bottom w:val="single" w:sz="4" w:color="D7DEE8"/>
              <w:right w:val="single" w:sz="4" w:color="D7DEE8"/>
            </w:tcBorders>
          </w:tcPr>
          <w:p>
            <w:pPr>
              <w:spacing w:after="0"/>
            </w:pPr>
            <w:r>
              <w:rPr>
                <w:sz w:val="15"/>
              </w:rPr>
              <w:t>Current, next 12 months</w:t>
            </w:r>
          </w:p>
        </w:tc>
        <w:tc>
          <w:tcPr>
            <w:tcW w:type="dxa" w:w="1440"/>
            <w:vAlign w:val="center"/>
            <w:tcBorders>
              <w:top w:val="single" w:sz="4" w:color="D7DEE8"/>
              <w:left w:val="single" w:sz="4" w:color="D7DEE8"/>
              <w:bottom w:val="single" w:sz="4" w:color="D7DEE8"/>
              <w:right w:val="single" w:sz="4" w:color="D7DEE8"/>
            </w:tcBorders>
          </w:tcPr>
          <w:p>
            <w:pPr>
              <w:spacing w:after="0"/>
            </w:pPr>
            <w:r>
              <w:rPr>
                <w:sz w:val="15"/>
              </w:rPr>
            </w:r>
          </w:p>
        </w:tc>
        <w:tc>
          <w:tcPr>
            <w:tcW w:type="dxa" w:w="1440"/>
            <w:vAlign w:val="center"/>
            <w:tcBorders>
              <w:top w:val="single" w:sz="4" w:color="D7DEE8"/>
              <w:left w:val="single" w:sz="4" w:color="D7DEE8"/>
              <w:bottom w:val="single" w:sz="4" w:color="D7DEE8"/>
              <w:right w:val="single" w:sz="4" w:color="D7DEE8"/>
            </w:tcBorders>
          </w:tcPr>
          <w:p>
            <w:pPr>
              <w:spacing w:after="0"/>
            </w:pPr>
            <w:r>
              <w:rPr>
                <w:sz w:val="15"/>
              </w:rPr>
            </w:r>
          </w:p>
        </w:tc>
        <w:tc>
          <w:tcPr>
            <w:tcW w:type="dxa" w:w="1656"/>
            <w:vAlign w:val="center"/>
            <w:tcBorders>
              <w:top w:val="single" w:sz="4" w:color="D7DEE8"/>
              <w:left w:val="single" w:sz="4" w:color="D7DEE8"/>
              <w:bottom w:val="single" w:sz="4" w:color="D7DEE8"/>
              <w:right w:val="single" w:sz="4" w:color="D7DEE8"/>
            </w:tcBorders>
          </w:tcPr>
          <w:p>
            <w:pPr>
              <w:spacing w:after="0"/>
            </w:pPr>
            <w:r>
              <w:rPr>
                <w:sz w:val="15"/>
              </w:rPr>
            </w:r>
          </w:p>
        </w:tc>
        <w:tc>
          <w:tcPr>
            <w:tcW w:type="dxa" w:w="1440"/>
            <w:vAlign w:val="center"/>
            <w:tcBorders>
              <w:top w:val="single" w:sz="4" w:color="D7DEE8"/>
              <w:left w:val="single" w:sz="4" w:color="D7DEE8"/>
              <w:bottom w:val="single" w:sz="4" w:color="D7DEE8"/>
              <w:right w:val="single" w:sz="4" w:color="D7DEE8"/>
            </w:tcBorders>
          </w:tcPr>
          <w:p>
            <w:pPr>
              <w:spacing w:after="0"/>
            </w:pPr>
            <w:r>
              <w:rPr>
                <w:sz w:val="15"/>
              </w:rPr>
            </w:r>
          </w:p>
        </w:tc>
        <w:tc>
          <w:tcPr>
            <w:tcW w:type="dxa" w:w="1440"/>
            <w:vAlign w:val="center"/>
            <w:tcBorders>
              <w:top w:val="single" w:sz="4" w:color="D7DEE8"/>
              <w:left w:val="single" w:sz="4" w:color="D7DEE8"/>
              <w:bottom w:val="single" w:sz="4" w:color="D7DEE8"/>
              <w:right w:val="single" w:sz="4" w:color="D7DEE8"/>
            </w:tcBorders>
          </w:tcPr>
          <w:p>
            <w:pPr>
              <w:spacing w:after="0"/>
            </w:pPr>
            <w:r>
              <w:rPr>
                <w:sz w:val="15"/>
              </w:rPr>
            </w:r>
          </w:p>
        </w:tc>
      </w:tr>
      <w:tr>
        <w:trPr>
          <w:cantSplit/>
        </w:trPr>
        <w:tc>
          <w:tcPr>
            <w:tcW w:type="dxa" w:w="2088"/>
            <w:vAlign w:val="center"/>
            <w:shd w:fill="EEF5FB"/>
            <w:tcBorders>
              <w:top w:val="single" w:sz="4" w:color="D7DEE8"/>
              <w:left w:val="single" w:sz="4" w:color="D7DEE8"/>
              <w:bottom w:val="single" w:sz="4" w:color="D7DEE8"/>
              <w:right w:val="single" w:sz="4" w:color="D7DEE8"/>
            </w:tcBorders>
          </w:tcPr>
          <w:p>
            <w:pPr>
              <w:spacing w:after="0"/>
            </w:pPr>
            <w:r>
              <w:rPr>
                <w:sz w:val="15"/>
              </w:rPr>
              <w:t>Months 13-36</w:t>
            </w:r>
          </w:p>
        </w:tc>
        <w:tc>
          <w:tcPr>
            <w:tcW w:type="dxa" w:w="1440"/>
            <w:vAlign w:val="center"/>
            <w:shd w:fill="EEF5FB"/>
            <w:tcBorders>
              <w:top w:val="single" w:sz="4" w:color="D7DEE8"/>
              <w:left w:val="single" w:sz="4" w:color="D7DEE8"/>
              <w:bottom w:val="single" w:sz="4" w:color="D7DEE8"/>
              <w:right w:val="single" w:sz="4" w:color="D7DEE8"/>
            </w:tcBorders>
          </w:tcPr>
          <w:p>
            <w:pPr>
              <w:spacing w:after="0"/>
            </w:pPr>
            <w:r>
              <w:rPr>
                <w:sz w:val="15"/>
              </w:rPr>
            </w:r>
          </w:p>
        </w:tc>
        <w:tc>
          <w:tcPr>
            <w:tcW w:type="dxa" w:w="1440"/>
            <w:vAlign w:val="center"/>
            <w:shd w:fill="EEF5FB"/>
            <w:tcBorders>
              <w:top w:val="single" w:sz="4" w:color="D7DEE8"/>
              <w:left w:val="single" w:sz="4" w:color="D7DEE8"/>
              <w:bottom w:val="single" w:sz="4" w:color="D7DEE8"/>
              <w:right w:val="single" w:sz="4" w:color="D7DEE8"/>
            </w:tcBorders>
          </w:tcPr>
          <w:p>
            <w:pPr>
              <w:spacing w:after="0"/>
            </w:pPr>
            <w:r>
              <w:rPr>
                <w:sz w:val="15"/>
              </w:rPr>
            </w:r>
          </w:p>
        </w:tc>
        <w:tc>
          <w:tcPr>
            <w:tcW w:type="dxa" w:w="1656"/>
            <w:vAlign w:val="center"/>
            <w:shd w:fill="EEF5FB"/>
            <w:tcBorders>
              <w:top w:val="single" w:sz="4" w:color="D7DEE8"/>
              <w:left w:val="single" w:sz="4" w:color="D7DEE8"/>
              <w:bottom w:val="single" w:sz="4" w:color="D7DEE8"/>
              <w:right w:val="single" w:sz="4" w:color="D7DEE8"/>
            </w:tcBorders>
          </w:tcPr>
          <w:p>
            <w:pPr>
              <w:spacing w:after="0"/>
            </w:pPr>
            <w:r>
              <w:rPr>
                <w:sz w:val="15"/>
              </w:rPr>
            </w:r>
          </w:p>
        </w:tc>
        <w:tc>
          <w:tcPr>
            <w:tcW w:type="dxa" w:w="1440"/>
            <w:vAlign w:val="center"/>
            <w:shd w:fill="EEF5FB"/>
            <w:tcBorders>
              <w:top w:val="single" w:sz="4" w:color="D7DEE8"/>
              <w:left w:val="single" w:sz="4" w:color="D7DEE8"/>
              <w:bottom w:val="single" w:sz="4" w:color="D7DEE8"/>
              <w:right w:val="single" w:sz="4" w:color="D7DEE8"/>
            </w:tcBorders>
          </w:tcPr>
          <w:p>
            <w:pPr>
              <w:spacing w:after="0"/>
            </w:pPr>
            <w:r>
              <w:rPr>
                <w:sz w:val="15"/>
              </w:rPr>
            </w:r>
          </w:p>
        </w:tc>
        <w:tc>
          <w:tcPr>
            <w:tcW w:type="dxa" w:w="1440"/>
            <w:vAlign w:val="center"/>
            <w:shd w:fill="EEF5FB"/>
            <w:tcBorders>
              <w:top w:val="single" w:sz="4" w:color="D7DEE8"/>
              <w:left w:val="single" w:sz="4" w:color="D7DEE8"/>
              <w:bottom w:val="single" w:sz="4" w:color="D7DEE8"/>
              <w:right w:val="single" w:sz="4" w:color="D7DEE8"/>
            </w:tcBorders>
          </w:tcPr>
          <w:p>
            <w:pPr>
              <w:spacing w:after="0"/>
            </w:pPr>
            <w:r>
              <w:rPr>
                <w:sz w:val="15"/>
              </w:rPr>
            </w:r>
          </w:p>
        </w:tc>
      </w:tr>
      <w:tr>
        <w:trPr>
          <w:cantSplit/>
        </w:trPr>
        <w:tc>
          <w:tcPr>
            <w:tcW w:type="dxa" w:w="2088"/>
            <w:vAlign w:val="center"/>
            <w:tcBorders>
              <w:top w:val="single" w:sz="4" w:color="D7DEE8"/>
              <w:left w:val="single" w:sz="4" w:color="D7DEE8"/>
              <w:bottom w:val="single" w:sz="4" w:color="D7DEE8"/>
              <w:right w:val="single" w:sz="4" w:color="D7DEE8"/>
            </w:tcBorders>
          </w:tcPr>
          <w:p>
            <w:pPr>
              <w:spacing w:after="0"/>
            </w:pPr>
            <w:r>
              <w:rPr>
                <w:sz w:val="15"/>
              </w:rPr>
              <w:t>Beyond 36 months</w:t>
            </w:r>
          </w:p>
        </w:tc>
        <w:tc>
          <w:tcPr>
            <w:tcW w:type="dxa" w:w="1440"/>
            <w:vAlign w:val="center"/>
            <w:tcBorders>
              <w:top w:val="single" w:sz="4" w:color="D7DEE8"/>
              <w:left w:val="single" w:sz="4" w:color="D7DEE8"/>
              <w:bottom w:val="single" w:sz="4" w:color="D7DEE8"/>
              <w:right w:val="single" w:sz="4" w:color="D7DEE8"/>
            </w:tcBorders>
          </w:tcPr>
          <w:p>
            <w:pPr>
              <w:spacing w:after="0"/>
            </w:pPr>
            <w:r>
              <w:rPr>
                <w:sz w:val="15"/>
              </w:rPr>
            </w:r>
          </w:p>
        </w:tc>
        <w:tc>
          <w:tcPr>
            <w:tcW w:type="dxa" w:w="1440"/>
            <w:vAlign w:val="center"/>
            <w:tcBorders>
              <w:top w:val="single" w:sz="4" w:color="D7DEE8"/>
              <w:left w:val="single" w:sz="4" w:color="D7DEE8"/>
              <w:bottom w:val="single" w:sz="4" w:color="D7DEE8"/>
              <w:right w:val="single" w:sz="4" w:color="D7DEE8"/>
            </w:tcBorders>
          </w:tcPr>
          <w:p>
            <w:pPr>
              <w:spacing w:after="0"/>
            </w:pPr>
            <w:r>
              <w:rPr>
                <w:sz w:val="15"/>
              </w:rPr>
            </w:r>
          </w:p>
        </w:tc>
        <w:tc>
          <w:tcPr>
            <w:tcW w:type="dxa" w:w="1656"/>
            <w:vAlign w:val="center"/>
            <w:tcBorders>
              <w:top w:val="single" w:sz="4" w:color="D7DEE8"/>
              <w:left w:val="single" w:sz="4" w:color="D7DEE8"/>
              <w:bottom w:val="single" w:sz="4" w:color="D7DEE8"/>
              <w:right w:val="single" w:sz="4" w:color="D7DEE8"/>
            </w:tcBorders>
          </w:tcPr>
          <w:p>
            <w:pPr>
              <w:spacing w:after="0"/>
            </w:pPr>
            <w:r>
              <w:rPr>
                <w:sz w:val="15"/>
              </w:rPr>
            </w:r>
          </w:p>
        </w:tc>
        <w:tc>
          <w:tcPr>
            <w:tcW w:type="dxa" w:w="1440"/>
            <w:vAlign w:val="center"/>
            <w:tcBorders>
              <w:top w:val="single" w:sz="4" w:color="D7DEE8"/>
              <w:left w:val="single" w:sz="4" w:color="D7DEE8"/>
              <w:bottom w:val="single" w:sz="4" w:color="D7DEE8"/>
              <w:right w:val="single" w:sz="4" w:color="D7DEE8"/>
            </w:tcBorders>
          </w:tcPr>
          <w:p>
            <w:pPr>
              <w:spacing w:after="0"/>
            </w:pPr>
            <w:r>
              <w:rPr>
                <w:sz w:val="15"/>
              </w:rPr>
            </w:r>
          </w:p>
        </w:tc>
        <w:tc>
          <w:tcPr>
            <w:tcW w:type="dxa" w:w="1440"/>
            <w:vAlign w:val="center"/>
            <w:tcBorders>
              <w:top w:val="single" w:sz="4" w:color="D7DEE8"/>
              <w:left w:val="single" w:sz="4" w:color="D7DEE8"/>
              <w:bottom w:val="single" w:sz="4" w:color="D7DEE8"/>
              <w:right w:val="single" w:sz="4" w:color="D7DEE8"/>
            </w:tcBorders>
          </w:tcPr>
          <w:p>
            <w:pPr>
              <w:spacing w:after="0"/>
            </w:pPr>
            <w:r>
              <w:rPr>
                <w:sz w:val="15"/>
              </w:rPr>
            </w:r>
          </w:p>
        </w:tc>
      </w:tr>
    </w:tbl>
    <w:p>
      <w:pPr>
        <w:spacing w:after="20"/>
      </w:pPr>
    </w:p>
    <w:p>
      <w:pPr>
        <w:pStyle w:val="Heading2"/>
      </w:pPr>
      <w:r>
        <w:t>Capacity</w:t>
      </w:r>
    </w:p>
    <w:p>
      <w:r>
        <w:t>Demand appears to exceed installed capacity. The forecast should track capacity under construction, mechanically complete, powered, accepted by customers and generating revenue. Average utilization and exit utilization should be separated.</w:t>
      </w:r>
    </w:p>
    <w:tbl>
      <w:tblPr>
        <w:tblW w:type="auto" w:w="0"/>
        <w:jc w:val="center"/>
        <w:tblLook w:firstColumn="1" w:firstRow="1" w:lastColumn="0" w:lastRow="0" w:noHBand="0" w:noVBand="1" w:val="04A0"/>
      </w:tblPr>
      <w:tblGrid>
        <w:gridCol w:w="10166"/>
      </w:tblGrid>
      <w:tr>
        <w:trPr>
          <w:cantSplit/>
        </w:trPr>
        <w:tc>
          <w:tcPr>
            <w:tcW w:type="dxa" w:w="10166"/>
            <w:shd w:fill="D9EAF7"/>
            <w:tcBorders>
              <w:top w:val="single" w:sz="10" w:color="2F5597"/>
              <w:left w:val="single" w:sz="10" w:color="2F5597"/>
              <w:bottom w:val="single" w:sz="10" w:color="2F5597"/>
              <w:right w:val="single" w:sz="10" w:color="2F5597"/>
            </w:tcBorders>
          </w:tcPr>
          <w:p>
            <w:pPr>
              <w:spacing w:after="60"/>
            </w:pPr>
            <w:r>
              <w:rPr>
                <w:b/>
                <w:color w:val="17365D"/>
                <w:sz w:val="20"/>
              </w:rPr>
              <w:t>Quarterly recognition principle</w:t>
            </w:r>
          </w:p>
          <w:p>
            <w:pPr>
              <w:spacing w:after="20"/>
            </w:pPr>
            <w:r>
              <w:rPr>
                <w:sz w:val="18"/>
              </w:rPr>
              <w:t>A facility completed halfway through a quarter should not receive a full quarter of revenue. Revenue recognition must reflect in-service timing and customer activation.</w:t>
            </w:r>
          </w:p>
        </w:tc>
      </w:tr>
    </w:tbl>
    <w:p>
      <w:pPr>
        <w:spacing w:after="20"/>
      </w:pPr>
    </w:p>
    <w:p>
      <w:pPr>
        <w:pStyle w:val="Heading2"/>
      </w:pPr>
      <w:r>
        <w:t>Capex</w:t>
      </w:r>
    </w:p>
    <w:p>
      <w:r>
        <w:t>Oracle reported FY26 capital expenditures of $55.7 billion versus $21.2 billion in FY25. It also reported approximately $3.3 billion of short-term capex financing and $4.6 billion of customer prepayments with significant financing components. Stated net cash capex was approximately $47.7 billion.</w:t>
      </w:r>
    </w:p>
    <w:p>
      <w:r>
        <w:t>For FY27, management described approximately $70 billion of net cash capex and another $20 billion to $25 billion of reported capex related to customer funding and timing, implying gross reported capex near $90 billion to $95 billion.</w:t>
      </w:r>
    </w:p>
    <w:p>
      <w:pPr>
        <w:pStyle w:val="ExecutiveBullet"/>
      </w:pPr>
      <w:r>
        <w:rPr>
          <w:b/>
          <w:color w:val="2F5597"/>
        </w:rPr>
        <w:t xml:space="preserve">1. </w:t>
      </w:r>
      <w:r>
        <w:t>Gross capital expenditures</w:t>
      </w:r>
    </w:p>
    <w:p>
      <w:pPr>
        <w:pStyle w:val="ExecutiveBullet"/>
      </w:pPr>
      <w:r>
        <w:rPr>
          <w:b/>
          <w:color w:val="2F5597"/>
        </w:rPr>
        <w:t xml:space="preserve">2. </w:t>
      </w:r>
      <w:r>
        <w:t>Customer prepayments funding capital</w:t>
      </w:r>
    </w:p>
    <w:p>
      <w:pPr>
        <w:pStyle w:val="ExecutiveBullet"/>
      </w:pPr>
      <w:r>
        <w:rPr>
          <w:b/>
          <w:color w:val="2F5597"/>
        </w:rPr>
        <w:t xml:space="preserve">3. </w:t>
      </w:r>
      <w:r>
        <w:t>Customer-supplied hardware</w:t>
      </w:r>
    </w:p>
    <w:p>
      <w:pPr>
        <w:pStyle w:val="ExecutiveBullet"/>
      </w:pPr>
      <w:r>
        <w:rPr>
          <w:b/>
          <w:color w:val="2F5597"/>
        </w:rPr>
        <w:t xml:space="preserve">4. </w:t>
      </w:r>
      <w:r>
        <w:t>Short-term capex financing</w:t>
      </w:r>
    </w:p>
    <w:p>
      <w:pPr>
        <w:pStyle w:val="ExecutiveBullet"/>
      </w:pPr>
      <w:r>
        <w:rPr>
          <w:b/>
          <w:color w:val="2F5597"/>
        </w:rPr>
        <w:t xml:space="preserve">5. </w:t>
      </w:r>
      <w:r>
        <w:t>Net cash capex</w:t>
      </w:r>
    </w:p>
    <w:p>
      <w:pPr>
        <w:pStyle w:val="ExecutiveBullet"/>
      </w:pPr>
      <w:r>
        <w:rPr>
          <w:b/>
          <w:color w:val="2F5597"/>
        </w:rPr>
        <w:t xml:space="preserve">6. </w:t>
      </w:r>
      <w:r>
        <w:t>Construction in progress</w:t>
      </w:r>
    </w:p>
    <w:p>
      <w:pPr>
        <w:pStyle w:val="ExecutiveBullet"/>
      </w:pPr>
      <w:r>
        <w:rPr>
          <w:b/>
          <w:color w:val="2F5597"/>
        </w:rPr>
        <w:t xml:space="preserve">7. </w:t>
      </w:r>
      <w:r>
        <w:t>Assets placed in service</w:t>
      </w:r>
    </w:p>
    <w:p>
      <w:pPr>
        <w:pStyle w:val="ExecutiveBullet"/>
      </w:pPr>
      <w:r>
        <w:rPr>
          <w:b/>
          <w:color w:val="2F5597"/>
        </w:rPr>
        <w:t xml:space="preserve">8. </w:t>
      </w:r>
      <w:r>
        <w:t>Operating leases commenced</w:t>
      </w:r>
    </w:p>
    <w:p>
      <w:pPr>
        <w:pStyle w:val="ExecutiveBullet"/>
      </w:pPr>
      <w:r>
        <w:rPr>
          <w:b/>
          <w:color w:val="2F5597"/>
        </w:rPr>
        <w:t xml:space="preserve">9. </w:t>
      </w:r>
      <w:r>
        <w:t>Committed but not commenced leases</w:t>
      </w:r>
    </w:p>
    <w:p>
      <w:pPr>
        <w:pStyle w:val="Heading2"/>
      </w:pPr>
      <w:r>
        <w:t>Depreciation</w:t>
      </w:r>
    </w:p>
    <w:p>
      <w:r>
        <w:t>FY26 depreciation increased to approximately $7.6 billion from $3.9 billion, while net property, plant and equipment increased to approximately $100 billion from $43.5 billion.</w:t>
      </w:r>
    </w:p>
    <w:p>
      <w:pPr>
        <w:pStyle w:val="Formula"/>
      </w:pPr>
      <w:r>
        <w:t>Depreciation_t = Legacy Depreciation_t + Σ [Capital Placed in Service_v,t × Depreciation Rate_v × Days in Service ÷ 365]</w:t>
      </w:r>
      <w:r>
        <w:br/>
      </w:r>
    </w:p>
    <w:tbl>
      <w:tblPr>
        <w:tblStyle w:val="TableGrid"/>
        <w:tblW w:type="auto" w:w="0"/>
        <w:jc w:val="center"/>
        <w:tblLayout w:type="fixed"/>
        <w:tblLook w:firstColumn="1" w:firstRow="1" w:lastColumn="0" w:lastRow="0" w:noHBand="0" w:noVBand="1" w:val="04A0"/>
      </w:tblPr>
      <w:tblGrid>
        <w:gridCol w:w="5083"/>
        <w:gridCol w:w="5083"/>
      </w:tblGrid>
      <w:tr>
        <w:trPr>
          <w:cantSplit/>
        </w:trPr>
        <w:tc>
          <w:tcPr>
            <w:tcW w:type="dxa" w:w="5184"/>
            <w:vAlign w:val="center"/>
            <w:shd w:fill="17365D"/>
            <w:tcBorders>
              <w:top w:val="single" w:sz="4" w:color="D7DEE8"/>
              <w:left w:val="single" w:sz="4" w:color="D7DEE8"/>
              <w:bottom w:val="single" w:sz="4" w:color="D7DEE8"/>
              <w:right w:val="single" w:sz="4" w:color="D7DEE8"/>
            </w:tcBorders>
          </w:tcPr>
          <w:p>
            <w:r>
              <w:rPr>
                <w:b/>
                <w:color w:val="FFFFFF"/>
                <w:sz w:val="16"/>
              </w:rPr>
              <w:t>Asset class</w:t>
            </w:r>
          </w:p>
        </w:tc>
        <w:tc>
          <w:tcPr>
            <w:tcW w:type="dxa" w:w="4608"/>
            <w:vAlign w:val="center"/>
            <w:shd w:fill="17365D"/>
            <w:tcBorders>
              <w:top w:val="single" w:sz="4" w:color="D7DEE8"/>
              <w:left w:val="single" w:sz="4" w:color="D7DEE8"/>
              <w:bottom w:val="single" w:sz="4" w:color="D7DEE8"/>
              <w:right w:val="single" w:sz="4" w:color="D7DEE8"/>
            </w:tcBorders>
          </w:tcPr>
          <w:p>
            <w:r>
              <w:rPr>
                <w:b/>
                <w:color w:val="FFFFFF"/>
                <w:sz w:val="16"/>
              </w:rPr>
              <w:t>Analytical useful-life range</w:t>
            </w:r>
          </w:p>
        </w:tc>
      </w:tr>
      <w:tr>
        <w:trPr>
          <w:cantSplit/>
        </w:trPr>
        <w:tc>
          <w:tcPr>
            <w:tcW w:type="dxa" w:w="5184"/>
            <w:vAlign w:val="center"/>
            <w:tcBorders>
              <w:top w:val="single" w:sz="4" w:color="D7DEE8"/>
              <w:left w:val="single" w:sz="4" w:color="D7DEE8"/>
              <w:bottom w:val="single" w:sz="4" w:color="D7DEE8"/>
              <w:right w:val="single" w:sz="4" w:color="D7DEE8"/>
            </w:tcBorders>
          </w:tcPr>
          <w:p>
            <w:pPr>
              <w:spacing w:after="0"/>
            </w:pPr>
            <w:r>
              <w:rPr>
                <w:sz w:val="16"/>
              </w:rPr>
              <w:t>GPUs, servers and networking</w:t>
            </w:r>
          </w:p>
        </w:tc>
        <w:tc>
          <w:tcPr>
            <w:tcW w:type="dxa" w:w="4608"/>
            <w:vAlign w:val="center"/>
            <w:tcBorders>
              <w:top w:val="single" w:sz="4" w:color="D7DEE8"/>
              <w:left w:val="single" w:sz="4" w:color="D7DEE8"/>
              <w:bottom w:val="single" w:sz="4" w:color="D7DEE8"/>
              <w:right w:val="single" w:sz="4" w:color="D7DEE8"/>
            </w:tcBorders>
          </w:tcPr>
          <w:p>
            <w:pPr>
              <w:spacing w:after="0"/>
            </w:pPr>
            <w:r>
              <w:rPr>
                <w:sz w:val="16"/>
              </w:rPr>
              <w:t>3 to 6 years</w:t>
            </w:r>
          </w:p>
        </w:tc>
      </w:tr>
      <w:tr>
        <w:trPr>
          <w:cantSplit/>
        </w:trPr>
        <w:tc>
          <w:tcPr>
            <w:tcW w:type="dxa" w:w="5184"/>
            <w:vAlign w:val="center"/>
            <w:shd w:fill="EEF5FB"/>
            <w:tcBorders>
              <w:top w:val="single" w:sz="4" w:color="D7DEE8"/>
              <w:left w:val="single" w:sz="4" w:color="D7DEE8"/>
              <w:bottom w:val="single" w:sz="4" w:color="D7DEE8"/>
              <w:right w:val="single" w:sz="4" w:color="D7DEE8"/>
            </w:tcBorders>
          </w:tcPr>
          <w:p>
            <w:pPr>
              <w:spacing w:after="0"/>
            </w:pPr>
            <w:r>
              <w:rPr>
                <w:sz w:val="16"/>
              </w:rPr>
              <w:t>Data-center shell, power and cooling</w:t>
            </w:r>
          </w:p>
        </w:tc>
        <w:tc>
          <w:tcPr>
            <w:tcW w:type="dxa" w:w="4608"/>
            <w:vAlign w:val="center"/>
            <w:shd w:fill="EEF5FB"/>
            <w:tcBorders>
              <w:top w:val="single" w:sz="4" w:color="D7DEE8"/>
              <w:left w:val="single" w:sz="4" w:color="D7DEE8"/>
              <w:bottom w:val="single" w:sz="4" w:color="D7DEE8"/>
              <w:right w:val="single" w:sz="4" w:color="D7DEE8"/>
            </w:tcBorders>
          </w:tcPr>
          <w:p>
            <w:pPr>
              <w:spacing w:after="0"/>
            </w:pPr>
            <w:r>
              <w:rPr>
                <w:sz w:val="16"/>
              </w:rPr>
              <w:t>15 to 40 years</w:t>
            </w:r>
          </w:p>
        </w:tc>
      </w:tr>
      <w:tr>
        <w:trPr>
          <w:cantSplit/>
        </w:trPr>
        <w:tc>
          <w:tcPr>
            <w:tcW w:type="dxa" w:w="5184"/>
            <w:vAlign w:val="center"/>
            <w:tcBorders>
              <w:top w:val="single" w:sz="4" w:color="D7DEE8"/>
              <w:left w:val="single" w:sz="4" w:color="D7DEE8"/>
              <w:bottom w:val="single" w:sz="4" w:color="D7DEE8"/>
              <w:right w:val="single" w:sz="4" w:color="D7DEE8"/>
            </w:tcBorders>
          </w:tcPr>
          <w:p>
            <w:pPr>
              <w:spacing w:after="0"/>
            </w:pPr>
            <w:r>
              <w:rPr>
                <w:sz w:val="16"/>
              </w:rPr>
              <w:t>Leasehold improvements</w:t>
            </w:r>
          </w:p>
        </w:tc>
        <w:tc>
          <w:tcPr>
            <w:tcW w:type="dxa" w:w="4608"/>
            <w:vAlign w:val="center"/>
            <w:tcBorders>
              <w:top w:val="single" w:sz="4" w:color="D7DEE8"/>
              <w:left w:val="single" w:sz="4" w:color="D7DEE8"/>
              <w:bottom w:val="single" w:sz="4" w:color="D7DEE8"/>
              <w:right w:val="single" w:sz="4" w:color="D7DEE8"/>
            </w:tcBorders>
          </w:tcPr>
          <w:p>
            <w:pPr>
              <w:spacing w:after="0"/>
            </w:pPr>
            <w:r>
              <w:rPr>
                <w:sz w:val="16"/>
              </w:rPr>
              <w:t>Shorter of useful life or lease term</w:t>
            </w:r>
          </w:p>
        </w:tc>
      </w:tr>
      <w:tr>
        <w:trPr>
          <w:cantSplit/>
        </w:trPr>
        <w:tc>
          <w:tcPr>
            <w:tcW w:type="dxa" w:w="5184"/>
            <w:vAlign w:val="center"/>
            <w:shd w:fill="EEF5FB"/>
            <w:tcBorders>
              <w:top w:val="single" w:sz="4" w:color="D7DEE8"/>
              <w:left w:val="single" w:sz="4" w:color="D7DEE8"/>
              <w:bottom w:val="single" w:sz="4" w:color="D7DEE8"/>
              <w:right w:val="single" w:sz="4" w:color="D7DEE8"/>
            </w:tcBorders>
          </w:tcPr>
          <w:p>
            <w:pPr>
              <w:spacing w:after="0"/>
            </w:pPr>
            <w:r>
              <w:rPr>
                <w:sz w:val="16"/>
              </w:rPr>
              <w:t>Construction in progress</w:t>
            </w:r>
          </w:p>
        </w:tc>
        <w:tc>
          <w:tcPr>
            <w:tcW w:type="dxa" w:w="4608"/>
            <w:vAlign w:val="center"/>
            <w:shd w:fill="EEF5FB"/>
            <w:tcBorders>
              <w:top w:val="single" w:sz="4" w:color="D7DEE8"/>
              <w:left w:val="single" w:sz="4" w:color="D7DEE8"/>
              <w:bottom w:val="single" w:sz="4" w:color="D7DEE8"/>
              <w:right w:val="single" w:sz="4" w:color="D7DEE8"/>
            </w:tcBorders>
          </w:tcPr>
          <w:p>
            <w:pPr>
              <w:spacing w:after="0"/>
            </w:pPr>
            <w:r>
              <w:rPr>
                <w:sz w:val="16"/>
              </w:rPr>
              <w:t>No depreciation until placed in service</w:t>
            </w:r>
          </w:p>
        </w:tc>
      </w:tr>
    </w:tbl>
    <w:p>
      <w:pPr>
        <w:spacing w:after="20"/>
      </w:pPr>
    </w:p>
    <w:p>
      <w:pPr>
        <w:pStyle w:val="Heading2"/>
      </w:pPr>
      <w:r>
        <w:t>Gross margin</w:t>
      </w:r>
    </w:p>
    <w:p>
      <w:r>
        <w:t>Oracle’s consolidated GAAP gross margin declined from approximately 70.5% in FY25 to 65.8% in FY26. Management indicated that FY27 gross margin would decline further as infrastructure becomes a greater percentage of revenue.</w:t>
      </w:r>
    </w:p>
    <w:p>
      <w:r>
        <w:t>The model should forecast OCI, cloud applications and support, license, hardware and services gross margins separately. OCI margin should be driven by utilization, power costs, depreciation, hardware ownership, customer funding, contract pricing, equipment generation, network costs and ramp inefficiency.</w:t>
      </w:r>
    </w:p>
    <w:p>
      <w:pPr>
        <w:pStyle w:val="Heading2"/>
      </w:pPr>
      <w:r>
        <w:t>Debt and interest</w:t>
      </w:r>
    </w:p>
    <w:tbl>
      <w:tblPr>
        <w:tblStyle w:val="TableGrid"/>
        <w:tblW w:type="auto" w:w="0"/>
        <w:jc w:val="center"/>
        <w:tblLayout w:type="fixed"/>
        <w:tblLook w:firstColumn="1" w:firstRow="1" w:lastColumn="0" w:lastRow="0" w:noHBand="0" w:noVBand="1" w:val="04A0"/>
      </w:tblPr>
      <w:tblGrid>
        <w:gridCol w:w="5083"/>
        <w:gridCol w:w="5083"/>
      </w:tblGrid>
      <w:tr>
        <w:trPr>
          <w:cantSplit/>
        </w:trPr>
        <w:tc>
          <w:tcPr>
            <w:tcW w:type="dxa" w:w="6192"/>
            <w:vAlign w:val="center"/>
            <w:shd w:fill="17365D"/>
            <w:tcBorders>
              <w:top w:val="single" w:sz="4" w:color="D7DEE8"/>
              <w:left w:val="single" w:sz="4" w:color="D7DEE8"/>
              <w:bottom w:val="single" w:sz="4" w:color="D7DEE8"/>
              <w:right w:val="single" w:sz="4" w:color="D7DEE8"/>
            </w:tcBorders>
          </w:tcPr>
          <w:p>
            <w:r>
              <w:rPr>
                <w:b/>
                <w:color w:val="FFFFFF"/>
                <w:sz w:val="16"/>
              </w:rPr>
              <w:t>FY26 year-end balance-sheet item</w:t>
            </w:r>
          </w:p>
        </w:tc>
        <w:tc>
          <w:tcPr>
            <w:tcW w:type="dxa" w:w="3168"/>
            <w:vAlign w:val="center"/>
            <w:shd w:fill="17365D"/>
            <w:tcBorders>
              <w:top w:val="single" w:sz="4" w:color="D7DEE8"/>
              <w:left w:val="single" w:sz="4" w:color="D7DEE8"/>
              <w:bottom w:val="single" w:sz="4" w:color="D7DEE8"/>
              <w:right w:val="single" w:sz="4" w:color="D7DEE8"/>
            </w:tcBorders>
          </w:tcPr>
          <w:p>
            <w:r>
              <w:rPr>
                <w:b/>
                <w:color w:val="FFFFFF"/>
                <w:sz w:val="16"/>
              </w:rPr>
              <w:t>Approximate value</w:t>
            </w:r>
          </w:p>
        </w:tc>
      </w:tr>
      <w:tr>
        <w:trPr>
          <w:cantSplit/>
        </w:trPr>
        <w:tc>
          <w:tcPr>
            <w:tcW w:type="dxa" w:w="6192"/>
            <w:vAlign w:val="center"/>
            <w:tcBorders>
              <w:top w:val="single" w:sz="4" w:color="D7DEE8"/>
              <w:left w:val="single" w:sz="4" w:color="D7DEE8"/>
              <w:bottom w:val="single" w:sz="4" w:color="D7DEE8"/>
              <w:right w:val="single" w:sz="4" w:color="D7DEE8"/>
            </w:tcBorders>
          </w:tcPr>
          <w:p>
            <w:pPr>
              <w:spacing w:after="0"/>
            </w:pPr>
            <w:r>
              <w:rPr>
                <w:sz w:val="16"/>
              </w:rPr>
              <w:t>Cash</w:t>
            </w:r>
          </w:p>
        </w:tc>
        <w:tc>
          <w:tcPr>
            <w:tcW w:type="dxa" w:w="3168"/>
            <w:vAlign w:val="center"/>
            <w:tcBorders>
              <w:top w:val="single" w:sz="4" w:color="D7DEE8"/>
              <w:left w:val="single" w:sz="4" w:color="D7DEE8"/>
              <w:bottom w:val="single" w:sz="4" w:color="D7DEE8"/>
              <w:right w:val="single" w:sz="4" w:color="D7DEE8"/>
            </w:tcBorders>
          </w:tcPr>
          <w:p>
            <w:pPr>
              <w:spacing w:after="0"/>
            </w:pPr>
            <w:r>
              <w:rPr>
                <w:sz w:val="16"/>
              </w:rPr>
              <w:t>$31.3B</w:t>
            </w:r>
          </w:p>
        </w:tc>
      </w:tr>
      <w:tr>
        <w:trPr>
          <w:cantSplit/>
        </w:trPr>
        <w:tc>
          <w:tcPr>
            <w:tcW w:type="dxa" w:w="6192"/>
            <w:vAlign w:val="center"/>
            <w:shd w:fill="EEF5FB"/>
            <w:tcBorders>
              <w:top w:val="single" w:sz="4" w:color="D7DEE8"/>
              <w:left w:val="single" w:sz="4" w:color="D7DEE8"/>
              <w:bottom w:val="single" w:sz="4" w:color="D7DEE8"/>
              <w:right w:val="single" w:sz="4" w:color="D7DEE8"/>
            </w:tcBorders>
          </w:tcPr>
          <w:p>
            <w:pPr>
              <w:spacing w:after="0"/>
            </w:pPr>
            <w:r>
              <w:rPr>
                <w:sz w:val="16"/>
              </w:rPr>
              <w:t>Marketable securities</w:t>
            </w:r>
          </w:p>
        </w:tc>
        <w:tc>
          <w:tcPr>
            <w:tcW w:type="dxa" w:w="3168"/>
            <w:vAlign w:val="center"/>
            <w:shd w:fill="EEF5FB"/>
            <w:tcBorders>
              <w:top w:val="single" w:sz="4" w:color="D7DEE8"/>
              <w:left w:val="single" w:sz="4" w:color="D7DEE8"/>
              <w:bottom w:val="single" w:sz="4" w:color="D7DEE8"/>
              <w:right w:val="single" w:sz="4" w:color="D7DEE8"/>
            </w:tcBorders>
          </w:tcPr>
          <w:p>
            <w:pPr>
              <w:spacing w:after="0"/>
            </w:pPr>
            <w:r>
              <w:rPr>
                <w:sz w:val="16"/>
              </w:rPr>
              <w:t>$0.6B</w:t>
            </w:r>
          </w:p>
        </w:tc>
      </w:tr>
      <w:tr>
        <w:trPr>
          <w:cantSplit/>
        </w:trPr>
        <w:tc>
          <w:tcPr>
            <w:tcW w:type="dxa" w:w="6192"/>
            <w:vAlign w:val="center"/>
            <w:tcBorders>
              <w:top w:val="single" w:sz="4" w:color="D7DEE8"/>
              <w:left w:val="single" w:sz="4" w:color="D7DEE8"/>
              <w:bottom w:val="single" w:sz="4" w:color="D7DEE8"/>
              <w:right w:val="single" w:sz="4" w:color="D7DEE8"/>
            </w:tcBorders>
          </w:tcPr>
          <w:p>
            <w:pPr>
              <w:spacing w:after="0"/>
            </w:pPr>
            <w:r>
              <w:rPr>
                <w:sz w:val="16"/>
              </w:rPr>
              <w:t>Current borrowings</w:t>
            </w:r>
          </w:p>
        </w:tc>
        <w:tc>
          <w:tcPr>
            <w:tcW w:type="dxa" w:w="3168"/>
            <w:vAlign w:val="center"/>
            <w:tcBorders>
              <w:top w:val="single" w:sz="4" w:color="D7DEE8"/>
              <w:left w:val="single" w:sz="4" w:color="D7DEE8"/>
              <w:bottom w:val="single" w:sz="4" w:color="D7DEE8"/>
              <w:right w:val="single" w:sz="4" w:color="D7DEE8"/>
            </w:tcBorders>
          </w:tcPr>
          <w:p>
            <w:pPr>
              <w:spacing w:after="0"/>
            </w:pPr>
            <w:r>
              <w:rPr>
                <w:sz w:val="16"/>
              </w:rPr>
              <w:t>$7.2B</w:t>
            </w:r>
          </w:p>
        </w:tc>
      </w:tr>
      <w:tr>
        <w:trPr>
          <w:cantSplit/>
        </w:trPr>
        <w:tc>
          <w:tcPr>
            <w:tcW w:type="dxa" w:w="6192"/>
            <w:vAlign w:val="center"/>
            <w:shd w:fill="EEF5FB"/>
            <w:tcBorders>
              <w:top w:val="single" w:sz="4" w:color="D7DEE8"/>
              <w:left w:val="single" w:sz="4" w:color="D7DEE8"/>
              <w:bottom w:val="single" w:sz="4" w:color="D7DEE8"/>
              <w:right w:val="single" w:sz="4" w:color="D7DEE8"/>
            </w:tcBorders>
          </w:tcPr>
          <w:p>
            <w:pPr>
              <w:spacing w:after="0"/>
            </w:pPr>
            <w:r>
              <w:rPr>
                <w:sz w:val="16"/>
              </w:rPr>
              <w:t>Noncurrent borrowings</w:t>
            </w:r>
          </w:p>
        </w:tc>
        <w:tc>
          <w:tcPr>
            <w:tcW w:type="dxa" w:w="3168"/>
            <w:vAlign w:val="center"/>
            <w:shd w:fill="EEF5FB"/>
            <w:tcBorders>
              <w:top w:val="single" w:sz="4" w:color="D7DEE8"/>
              <w:left w:val="single" w:sz="4" w:color="D7DEE8"/>
              <w:bottom w:val="single" w:sz="4" w:color="D7DEE8"/>
              <w:right w:val="single" w:sz="4" w:color="D7DEE8"/>
            </w:tcBorders>
          </w:tcPr>
          <w:p>
            <w:pPr>
              <w:spacing w:after="0"/>
            </w:pPr>
            <w:r>
              <w:rPr>
                <w:sz w:val="16"/>
              </w:rPr>
              <w:t>$122.3B</w:t>
            </w:r>
          </w:p>
        </w:tc>
      </w:tr>
      <w:tr>
        <w:trPr>
          <w:cantSplit/>
        </w:trPr>
        <w:tc>
          <w:tcPr>
            <w:tcW w:type="dxa" w:w="6192"/>
            <w:vAlign w:val="center"/>
            <w:tcBorders>
              <w:top w:val="single" w:sz="4" w:color="D7DEE8"/>
              <w:left w:val="single" w:sz="4" w:color="D7DEE8"/>
              <w:bottom w:val="single" w:sz="4" w:color="D7DEE8"/>
              <w:right w:val="single" w:sz="4" w:color="D7DEE8"/>
            </w:tcBorders>
          </w:tcPr>
          <w:p>
            <w:pPr>
              <w:spacing w:after="0"/>
            </w:pPr>
            <w:r>
              <w:rPr>
                <w:sz w:val="16"/>
              </w:rPr>
              <w:t>Gross debt</w:t>
            </w:r>
          </w:p>
        </w:tc>
        <w:tc>
          <w:tcPr>
            <w:tcW w:type="dxa" w:w="3168"/>
            <w:vAlign w:val="center"/>
            <w:tcBorders>
              <w:top w:val="single" w:sz="4" w:color="D7DEE8"/>
              <w:left w:val="single" w:sz="4" w:color="D7DEE8"/>
              <w:bottom w:val="single" w:sz="4" w:color="D7DEE8"/>
              <w:right w:val="single" w:sz="4" w:color="D7DEE8"/>
            </w:tcBorders>
          </w:tcPr>
          <w:p>
            <w:pPr>
              <w:spacing w:after="0"/>
            </w:pPr>
            <w:r>
              <w:rPr>
                <w:sz w:val="16"/>
              </w:rPr>
              <w:t>$129.5B</w:t>
            </w:r>
          </w:p>
        </w:tc>
      </w:tr>
      <w:tr>
        <w:trPr>
          <w:cantSplit/>
        </w:trPr>
        <w:tc>
          <w:tcPr>
            <w:tcW w:type="dxa" w:w="6192"/>
            <w:vAlign w:val="center"/>
            <w:shd w:fill="EEF5FB"/>
            <w:tcBorders>
              <w:top w:val="single" w:sz="4" w:color="D7DEE8"/>
              <w:left w:val="single" w:sz="4" w:color="D7DEE8"/>
              <w:bottom w:val="single" w:sz="4" w:color="D7DEE8"/>
              <w:right w:val="single" w:sz="4" w:color="D7DEE8"/>
            </w:tcBorders>
          </w:tcPr>
          <w:p>
            <w:pPr>
              <w:spacing w:after="0"/>
            </w:pPr>
            <w:r>
              <w:rPr>
                <w:sz w:val="16"/>
              </w:rPr>
              <w:t>Noncurrent operating lease liabilities</w:t>
            </w:r>
          </w:p>
        </w:tc>
        <w:tc>
          <w:tcPr>
            <w:tcW w:type="dxa" w:w="3168"/>
            <w:vAlign w:val="center"/>
            <w:shd w:fill="EEF5FB"/>
            <w:tcBorders>
              <w:top w:val="single" w:sz="4" w:color="D7DEE8"/>
              <w:left w:val="single" w:sz="4" w:color="D7DEE8"/>
              <w:bottom w:val="single" w:sz="4" w:color="D7DEE8"/>
              <w:right w:val="single" w:sz="4" w:color="D7DEE8"/>
            </w:tcBorders>
          </w:tcPr>
          <w:p>
            <w:pPr>
              <w:spacing w:after="0"/>
            </w:pPr>
            <w:r>
              <w:rPr>
                <w:sz w:val="16"/>
              </w:rPr>
              <w:t>$26.6B</w:t>
            </w:r>
          </w:p>
        </w:tc>
      </w:tr>
      <w:tr>
        <w:trPr>
          <w:cantSplit/>
        </w:trPr>
        <w:tc>
          <w:tcPr>
            <w:tcW w:type="dxa" w:w="6192"/>
            <w:vAlign w:val="center"/>
            <w:tcBorders>
              <w:top w:val="single" w:sz="4" w:color="D7DEE8"/>
              <w:left w:val="single" w:sz="4" w:color="D7DEE8"/>
              <w:bottom w:val="single" w:sz="4" w:color="D7DEE8"/>
              <w:right w:val="single" w:sz="4" w:color="D7DEE8"/>
            </w:tcBorders>
          </w:tcPr>
          <w:p>
            <w:pPr>
              <w:spacing w:after="0"/>
            </w:pPr>
            <w:r>
              <w:rPr>
                <w:sz w:val="16"/>
              </w:rPr>
              <w:t>FY26 interest expense</w:t>
            </w:r>
          </w:p>
        </w:tc>
        <w:tc>
          <w:tcPr>
            <w:tcW w:type="dxa" w:w="3168"/>
            <w:vAlign w:val="center"/>
            <w:tcBorders>
              <w:top w:val="single" w:sz="4" w:color="D7DEE8"/>
              <w:left w:val="single" w:sz="4" w:color="D7DEE8"/>
              <w:bottom w:val="single" w:sz="4" w:color="D7DEE8"/>
              <w:right w:val="single" w:sz="4" w:color="D7DEE8"/>
            </w:tcBorders>
          </w:tcPr>
          <w:p>
            <w:pPr>
              <w:spacing w:after="0"/>
            </w:pPr>
            <w:r>
              <w:rPr>
                <w:sz w:val="16"/>
              </w:rPr>
              <w:t>$4.6B</w:t>
            </w:r>
          </w:p>
        </w:tc>
      </w:tr>
    </w:tbl>
    <w:p>
      <w:pPr>
        <w:spacing w:after="20"/>
      </w:pPr>
    </w:p>
    <w:p>
      <w:pPr>
        <w:pStyle w:val="Formula"/>
      </w:pPr>
      <w:r>
        <w:t>Interest_t = Average Gross Debt_t × Effective Rate_t ÷ 4 + Lease Interest_t + Financing Fees_t − Capitalized Interest_t</w:t>
      </w:r>
      <w:r>
        <w:br/>
      </w:r>
      <w:r>
        <w:t>Ending Debt_t = Beginning Debt_t + New Debt_t + Capex Financing_t − Repayments_t</w:t>
      </w:r>
    </w:p>
    <w:p>
      <w:pPr>
        <w:pStyle w:val="Heading2"/>
      </w:pPr>
      <w:r>
        <w:t>Lease commitments</w:t>
      </w:r>
    </w:p>
    <w:p>
      <w:r>
        <w:t>A financial-publication review of Oracle’s FY26 filing reported approximately $260 billion of additional operating lease commitments that had not yet commenced, substantially related to data centers expected to commence from FY27 through FY29. The exact 10-K footnote should be verified before final model completion.</w:t>
      </w:r>
    </w:p>
    <w:p>
      <w:pPr>
        <w:pStyle w:val="ExecutiveBullet"/>
      </w:pPr>
      <w:r>
        <w:rPr>
          <w:b/>
          <w:color w:val="2F5597"/>
        </w:rPr>
        <w:t xml:space="preserve">1. </w:t>
      </w:r>
      <w:r>
        <w:t>Schedule lease commencements by year.</w:t>
      </w:r>
    </w:p>
    <w:p>
      <w:pPr>
        <w:pStyle w:val="ExecutiveBullet"/>
      </w:pPr>
      <w:r>
        <w:rPr>
          <w:b/>
          <w:color w:val="2F5597"/>
        </w:rPr>
        <w:t xml:space="preserve">2. </w:t>
      </w:r>
      <w:r>
        <w:t>Estimate present value.</w:t>
      </w:r>
    </w:p>
    <w:p>
      <w:pPr>
        <w:pStyle w:val="ExecutiveBullet"/>
      </w:pPr>
      <w:r>
        <w:rPr>
          <w:b/>
          <w:color w:val="2F5597"/>
        </w:rPr>
        <w:t xml:space="preserve">3. </w:t>
      </w:r>
      <w:r>
        <w:t>Add liabilities as leases commence.</w:t>
      </w:r>
    </w:p>
    <w:p>
      <w:pPr>
        <w:pStyle w:val="ExecutiveBullet"/>
      </w:pPr>
      <w:r>
        <w:rPr>
          <w:b/>
          <w:color w:val="2F5597"/>
        </w:rPr>
        <w:t xml:space="preserve">4. </w:t>
      </w:r>
      <w:r>
        <w:t>Maintain a separate committed-capital view.</w:t>
      </w:r>
    </w:p>
    <w:p>
      <w:pPr>
        <w:pStyle w:val="ExecutiveBullet"/>
      </w:pPr>
      <w:r>
        <w:rPr>
          <w:b/>
          <w:color w:val="2F5597"/>
        </w:rPr>
        <w:t xml:space="preserve">5. </w:t>
      </w:r>
      <w:r>
        <w:t>Use a consistent lease-adjustment convention across Oracle and peers.</w:t>
      </w:r>
    </w:p>
    <w:p>
      <w:pPr>
        <w:pStyle w:val="Heading2"/>
      </w:pPr>
      <w:r>
        <w:t>Equity dilution</w:t>
      </w:r>
    </w:p>
    <w:p>
      <w:r>
        <w:t>Oracle raised approximately $5 billion through a mandatory convertible preferred security and authorized an up-to-$20 billion common-stock ATM program.</w:t>
      </w:r>
    </w:p>
    <w:p>
      <w:pPr>
        <w:pStyle w:val="Formula"/>
      </w:pPr>
      <w:r>
        <w:t>ATM Shares Issued = ATM Proceeds ÷ Average Issuance Price</w:t>
      </w:r>
      <w:r>
        <w:br/>
      </w:r>
    </w:p>
    <w:tbl>
      <w:tblPr>
        <w:tblStyle w:val="TableGrid"/>
        <w:tblW w:type="auto" w:w="0"/>
        <w:jc w:val="center"/>
        <w:tblLayout w:type="fixed"/>
        <w:tblLook w:firstColumn="1" w:firstRow="1" w:lastColumn="0" w:lastRow="0" w:noHBand="0" w:noVBand="1" w:val="04A0"/>
      </w:tblPr>
      <w:tblGrid>
        <w:gridCol w:w="5083"/>
        <w:gridCol w:w="5083"/>
      </w:tblGrid>
      <w:tr>
        <w:trPr>
          <w:cantSplit/>
        </w:trPr>
        <w:tc>
          <w:tcPr>
            <w:tcW w:type="dxa" w:w="5184"/>
            <w:vAlign w:val="center"/>
            <w:shd w:fill="17365D"/>
            <w:tcBorders>
              <w:top w:val="single" w:sz="4" w:color="D7DEE8"/>
              <w:left w:val="single" w:sz="4" w:color="D7DEE8"/>
              <w:bottom w:val="single" w:sz="4" w:color="D7DEE8"/>
              <w:right w:val="single" w:sz="4" w:color="D7DEE8"/>
            </w:tcBorders>
          </w:tcPr>
          <w:p>
            <w:r>
              <w:rPr>
                <w:b/>
                <w:color w:val="FFFFFF"/>
                <w:sz w:val="16"/>
              </w:rPr>
              <w:t>Average ATM issuance price</w:t>
            </w:r>
          </w:p>
        </w:tc>
        <w:tc>
          <w:tcPr>
            <w:tcW w:type="dxa" w:w="4608"/>
            <w:vAlign w:val="center"/>
            <w:shd w:fill="17365D"/>
            <w:tcBorders>
              <w:top w:val="single" w:sz="4" w:color="D7DEE8"/>
              <w:left w:val="single" w:sz="4" w:color="D7DEE8"/>
              <w:bottom w:val="single" w:sz="4" w:color="D7DEE8"/>
              <w:right w:val="single" w:sz="4" w:color="D7DEE8"/>
            </w:tcBorders>
          </w:tcPr>
          <w:p>
            <w:r>
              <w:rPr>
                <w:b/>
                <w:color w:val="FFFFFF"/>
                <w:sz w:val="16"/>
              </w:rPr>
              <w:t>New shares from full $20B program</w:t>
            </w:r>
          </w:p>
        </w:tc>
      </w:tr>
      <w:tr>
        <w:trPr>
          <w:cantSplit/>
        </w:trPr>
        <w:tc>
          <w:tcPr>
            <w:tcW w:type="dxa" w:w="5184"/>
            <w:vAlign w:val="center"/>
            <w:tcBorders>
              <w:top w:val="single" w:sz="4" w:color="D7DEE8"/>
              <w:left w:val="single" w:sz="4" w:color="D7DEE8"/>
              <w:bottom w:val="single" w:sz="4" w:color="D7DEE8"/>
              <w:right w:val="single" w:sz="4" w:color="D7DEE8"/>
            </w:tcBorders>
          </w:tcPr>
          <w:p>
            <w:pPr>
              <w:spacing w:after="0"/>
            </w:pPr>
            <w:r>
              <w:rPr>
                <w:sz w:val="16"/>
              </w:rPr>
              <w:t>$110</w:t>
            </w:r>
          </w:p>
        </w:tc>
        <w:tc>
          <w:tcPr>
            <w:tcW w:type="dxa" w:w="4608"/>
            <w:vAlign w:val="center"/>
            <w:tcBorders>
              <w:top w:val="single" w:sz="4" w:color="D7DEE8"/>
              <w:left w:val="single" w:sz="4" w:color="D7DEE8"/>
              <w:bottom w:val="single" w:sz="4" w:color="D7DEE8"/>
              <w:right w:val="single" w:sz="4" w:color="D7DEE8"/>
            </w:tcBorders>
          </w:tcPr>
          <w:p>
            <w:pPr>
              <w:spacing w:after="0"/>
            </w:pPr>
            <w:r>
              <w:rPr>
                <w:sz w:val="16"/>
              </w:rPr>
              <w:t>181.8M</w:t>
            </w:r>
          </w:p>
        </w:tc>
      </w:tr>
      <w:tr>
        <w:trPr>
          <w:cantSplit/>
        </w:trPr>
        <w:tc>
          <w:tcPr>
            <w:tcW w:type="dxa" w:w="5184"/>
            <w:vAlign w:val="center"/>
            <w:shd w:fill="EEF5FB"/>
            <w:tcBorders>
              <w:top w:val="single" w:sz="4" w:color="D7DEE8"/>
              <w:left w:val="single" w:sz="4" w:color="D7DEE8"/>
              <w:bottom w:val="single" w:sz="4" w:color="D7DEE8"/>
              <w:right w:val="single" w:sz="4" w:color="D7DEE8"/>
            </w:tcBorders>
          </w:tcPr>
          <w:p>
            <w:pPr>
              <w:spacing w:after="0"/>
            </w:pPr>
            <w:r>
              <w:rPr>
                <w:sz w:val="16"/>
              </w:rPr>
              <w:t>$140</w:t>
            </w:r>
          </w:p>
        </w:tc>
        <w:tc>
          <w:tcPr>
            <w:tcW w:type="dxa" w:w="4608"/>
            <w:vAlign w:val="center"/>
            <w:shd w:fill="EEF5FB"/>
            <w:tcBorders>
              <w:top w:val="single" w:sz="4" w:color="D7DEE8"/>
              <w:left w:val="single" w:sz="4" w:color="D7DEE8"/>
              <w:bottom w:val="single" w:sz="4" w:color="D7DEE8"/>
              <w:right w:val="single" w:sz="4" w:color="D7DEE8"/>
            </w:tcBorders>
          </w:tcPr>
          <w:p>
            <w:pPr>
              <w:spacing w:after="0"/>
            </w:pPr>
            <w:r>
              <w:rPr>
                <w:sz w:val="16"/>
              </w:rPr>
              <w:t>142.9M</w:t>
            </w:r>
          </w:p>
        </w:tc>
      </w:tr>
      <w:tr>
        <w:trPr>
          <w:cantSplit/>
        </w:trPr>
        <w:tc>
          <w:tcPr>
            <w:tcW w:type="dxa" w:w="5184"/>
            <w:vAlign w:val="center"/>
            <w:tcBorders>
              <w:top w:val="single" w:sz="4" w:color="D7DEE8"/>
              <w:left w:val="single" w:sz="4" w:color="D7DEE8"/>
              <w:bottom w:val="single" w:sz="4" w:color="D7DEE8"/>
              <w:right w:val="single" w:sz="4" w:color="D7DEE8"/>
            </w:tcBorders>
          </w:tcPr>
          <w:p>
            <w:pPr>
              <w:spacing w:after="0"/>
            </w:pPr>
            <w:r>
              <w:rPr>
                <w:sz w:val="16"/>
              </w:rPr>
              <w:t>$180</w:t>
            </w:r>
          </w:p>
        </w:tc>
        <w:tc>
          <w:tcPr>
            <w:tcW w:type="dxa" w:w="4608"/>
            <w:vAlign w:val="center"/>
            <w:tcBorders>
              <w:top w:val="single" w:sz="4" w:color="D7DEE8"/>
              <w:left w:val="single" w:sz="4" w:color="D7DEE8"/>
              <w:bottom w:val="single" w:sz="4" w:color="D7DEE8"/>
              <w:right w:val="single" w:sz="4" w:color="D7DEE8"/>
            </w:tcBorders>
          </w:tcPr>
          <w:p>
            <w:pPr>
              <w:spacing w:after="0"/>
            </w:pPr>
            <w:r>
              <w:rPr>
                <w:sz w:val="16"/>
              </w:rPr>
              <w:t>111.1M</w:t>
            </w:r>
          </w:p>
        </w:tc>
      </w:tr>
    </w:tbl>
    <w:p>
      <w:pPr>
        <w:spacing w:after="20"/>
      </w:pPr>
    </w:p>
    <w:tbl>
      <w:tblPr>
        <w:tblW w:type="auto" w:w="0"/>
        <w:jc w:val="center"/>
        <w:tblLook w:firstColumn="1" w:firstRow="1" w:lastColumn="0" w:lastRow="0" w:noHBand="0" w:noVBand="1" w:val="04A0"/>
      </w:tblPr>
      <w:tblGrid>
        <w:gridCol w:w="10166"/>
      </w:tblGrid>
      <w:tr>
        <w:trPr>
          <w:cantSplit/>
        </w:trPr>
        <w:tc>
          <w:tcPr>
            <w:tcW w:type="dxa" w:w="10166"/>
            <w:shd w:fill="D9EAF7"/>
            <w:tcBorders>
              <w:top w:val="single" w:sz="10" w:color="2F5597"/>
              <w:left w:val="single" w:sz="10" w:color="2F5597"/>
              <w:bottom w:val="single" w:sz="10" w:color="2F5597"/>
              <w:right w:val="single" w:sz="10" w:color="2F5597"/>
            </w:tcBorders>
          </w:tcPr>
          <w:p>
            <w:pPr>
              <w:spacing w:after="60"/>
            </w:pPr>
            <w:r>
              <w:rPr>
                <w:b/>
                <w:color w:val="17365D"/>
                <w:sz w:val="20"/>
              </w:rPr>
              <w:t>Reflexive dilution risk</w:t>
            </w:r>
          </w:p>
          <w:p>
            <w:pPr>
              <w:spacing w:after="20"/>
            </w:pPr>
            <w:r>
              <w:rPr>
                <w:sz w:val="18"/>
              </w:rPr>
              <w:t>A weaker share price forces Oracle to issue more shares to raise the same amount of capital, reducing per-share value further.</w:t>
            </w:r>
          </w:p>
        </w:tc>
      </w:tr>
    </w:tbl>
    <w:p>
      <w:pPr>
        <w:spacing w:after="20"/>
      </w:pPr>
    </w:p>
    <w:p>
      <w:pPr>
        <w:pStyle w:val="Heading1"/>
      </w:pPr>
      <w:r>
        <w:t>6. Comparable-company framework</w:t>
      </w:r>
    </w:p>
    <w:p>
      <w:r>
        <w:t>No single public company is a complete Oracle comparable.</w:t>
      </w:r>
    </w:p>
    <w:tbl>
      <w:tblPr>
        <w:tblStyle w:val="TableGrid"/>
        <w:tblW w:type="auto" w:w="0"/>
        <w:jc w:val="center"/>
        <w:tblLayout w:type="fixed"/>
        <w:tblLook w:firstColumn="1" w:firstRow="1" w:lastColumn="0" w:lastRow="0" w:noHBand="0" w:noVBand="1" w:val="04A0"/>
      </w:tblPr>
      <w:tblGrid>
        <w:gridCol w:w="3389"/>
        <w:gridCol w:w="3389"/>
        <w:gridCol w:w="3389"/>
      </w:tblGrid>
      <w:tr>
        <w:trPr>
          <w:cantSplit/>
        </w:trPr>
        <w:tc>
          <w:tcPr>
            <w:tcW w:type="dxa" w:w="2232"/>
            <w:vAlign w:val="center"/>
            <w:shd w:fill="17365D"/>
            <w:tcBorders>
              <w:top w:val="single" w:sz="4" w:color="D7DEE8"/>
              <w:left w:val="single" w:sz="4" w:color="D7DEE8"/>
              <w:bottom w:val="single" w:sz="4" w:color="D7DEE8"/>
              <w:right w:val="single" w:sz="4" w:color="D7DEE8"/>
            </w:tcBorders>
          </w:tcPr>
          <w:p>
            <w:r>
              <w:rPr>
                <w:b/>
                <w:color w:val="FFFFFF"/>
                <w:sz w:val="16"/>
              </w:rPr>
              <w:t>Oracle business</w:t>
            </w:r>
          </w:p>
        </w:tc>
        <w:tc>
          <w:tcPr>
            <w:tcW w:type="dxa" w:w="3240"/>
            <w:vAlign w:val="center"/>
            <w:shd w:fill="17365D"/>
            <w:tcBorders>
              <w:top w:val="single" w:sz="4" w:color="D7DEE8"/>
              <w:left w:val="single" w:sz="4" w:color="D7DEE8"/>
              <w:bottom w:val="single" w:sz="4" w:color="D7DEE8"/>
              <w:right w:val="single" w:sz="4" w:color="D7DEE8"/>
            </w:tcBorders>
          </w:tcPr>
          <w:p>
            <w:r>
              <w:rPr>
                <w:b/>
                <w:color w:val="FFFFFF"/>
                <w:sz w:val="16"/>
              </w:rPr>
              <w:t>Primary comparables</w:t>
            </w:r>
          </w:p>
        </w:tc>
        <w:tc>
          <w:tcPr>
            <w:tcW w:type="dxa" w:w="4608"/>
            <w:vAlign w:val="center"/>
            <w:shd w:fill="17365D"/>
            <w:tcBorders>
              <w:top w:val="single" w:sz="4" w:color="D7DEE8"/>
              <w:left w:val="single" w:sz="4" w:color="D7DEE8"/>
              <w:bottom w:val="single" w:sz="4" w:color="D7DEE8"/>
              <w:right w:val="single" w:sz="4" w:color="D7DEE8"/>
            </w:tcBorders>
          </w:tcPr>
          <w:p>
            <w:r>
              <w:rPr>
                <w:b/>
                <w:color w:val="FFFFFF"/>
                <w:sz w:val="16"/>
              </w:rPr>
              <w:t>Purpose</w:t>
            </w:r>
          </w:p>
        </w:tc>
      </w:tr>
      <w:tr>
        <w:trPr>
          <w:cantSplit/>
        </w:trPr>
        <w:tc>
          <w:tcPr>
            <w:tcW w:type="dxa" w:w="2232"/>
            <w:vAlign w:val="center"/>
            <w:tcBorders>
              <w:top w:val="single" w:sz="4" w:color="D7DEE8"/>
              <w:left w:val="single" w:sz="4" w:color="D7DEE8"/>
              <w:bottom w:val="single" w:sz="4" w:color="D7DEE8"/>
              <w:right w:val="single" w:sz="4" w:color="D7DEE8"/>
            </w:tcBorders>
          </w:tcPr>
          <w:p>
            <w:pPr>
              <w:spacing w:after="0"/>
            </w:pPr>
            <w:r>
              <w:rPr>
                <w:sz w:val="16"/>
              </w:rPr>
              <w:t>OCI</w:t>
            </w:r>
          </w:p>
        </w:tc>
        <w:tc>
          <w:tcPr>
            <w:tcW w:type="dxa" w:w="3240"/>
            <w:vAlign w:val="center"/>
            <w:tcBorders>
              <w:top w:val="single" w:sz="4" w:color="D7DEE8"/>
              <w:left w:val="single" w:sz="4" w:color="D7DEE8"/>
              <w:bottom w:val="single" w:sz="4" w:color="D7DEE8"/>
              <w:right w:val="single" w:sz="4" w:color="D7DEE8"/>
            </w:tcBorders>
          </w:tcPr>
          <w:p>
            <w:pPr>
              <w:spacing w:after="0"/>
            </w:pPr>
            <w:r>
              <w:rPr>
                <w:sz w:val="16"/>
              </w:rPr>
              <w:t>Microsoft, Amazon, Alphabet</w:t>
            </w:r>
          </w:p>
        </w:tc>
        <w:tc>
          <w:tcPr>
            <w:tcW w:type="dxa" w:w="4608"/>
            <w:vAlign w:val="center"/>
            <w:tcBorders>
              <w:top w:val="single" w:sz="4" w:color="D7DEE8"/>
              <w:left w:val="single" w:sz="4" w:color="D7DEE8"/>
              <w:bottom w:val="single" w:sz="4" w:color="D7DEE8"/>
              <w:right w:val="single" w:sz="4" w:color="D7DEE8"/>
            </w:tcBorders>
          </w:tcPr>
          <w:p>
            <w:pPr>
              <w:spacing w:after="0"/>
            </w:pPr>
            <w:r>
              <w:rPr>
                <w:sz w:val="16"/>
              </w:rPr>
              <w:t>Hyperscale infrastructure growth, margins, capex and capacity</w:t>
            </w:r>
          </w:p>
        </w:tc>
      </w:tr>
      <w:tr>
        <w:trPr>
          <w:cantSplit/>
        </w:trPr>
        <w:tc>
          <w:tcPr>
            <w:tcW w:type="dxa" w:w="2232"/>
            <w:vAlign w:val="center"/>
            <w:shd w:fill="EEF5FB"/>
            <w:tcBorders>
              <w:top w:val="single" w:sz="4" w:color="D7DEE8"/>
              <w:left w:val="single" w:sz="4" w:color="D7DEE8"/>
              <w:bottom w:val="single" w:sz="4" w:color="D7DEE8"/>
              <w:right w:val="single" w:sz="4" w:color="D7DEE8"/>
            </w:tcBorders>
          </w:tcPr>
          <w:p>
            <w:pPr>
              <w:spacing w:after="0"/>
            </w:pPr>
            <w:r>
              <w:rPr>
                <w:sz w:val="16"/>
              </w:rPr>
              <w:t>Cloud applications</w:t>
            </w:r>
          </w:p>
        </w:tc>
        <w:tc>
          <w:tcPr>
            <w:tcW w:type="dxa" w:w="3240"/>
            <w:vAlign w:val="center"/>
            <w:shd w:fill="EEF5FB"/>
            <w:tcBorders>
              <w:top w:val="single" w:sz="4" w:color="D7DEE8"/>
              <w:left w:val="single" w:sz="4" w:color="D7DEE8"/>
              <w:bottom w:val="single" w:sz="4" w:color="D7DEE8"/>
              <w:right w:val="single" w:sz="4" w:color="D7DEE8"/>
            </w:tcBorders>
          </w:tcPr>
          <w:p>
            <w:pPr>
              <w:spacing w:after="0"/>
            </w:pPr>
            <w:r>
              <w:rPr>
                <w:sz w:val="16"/>
              </w:rPr>
              <w:t>SAP, Salesforce</w:t>
            </w:r>
          </w:p>
        </w:tc>
        <w:tc>
          <w:tcPr>
            <w:tcW w:type="dxa" w:w="4608"/>
            <w:vAlign w:val="center"/>
            <w:shd w:fill="EEF5FB"/>
            <w:tcBorders>
              <w:top w:val="single" w:sz="4" w:color="D7DEE8"/>
              <w:left w:val="single" w:sz="4" w:color="D7DEE8"/>
              <w:bottom w:val="single" w:sz="4" w:color="D7DEE8"/>
              <w:right w:val="single" w:sz="4" w:color="D7DEE8"/>
            </w:tcBorders>
          </w:tcPr>
          <w:p>
            <w:pPr>
              <w:spacing w:after="0"/>
            </w:pPr>
            <w:r>
              <w:rPr>
                <w:sz w:val="16"/>
              </w:rPr>
              <w:t>Enterprise SaaS growth, backlog and recurring margins</w:t>
            </w:r>
          </w:p>
        </w:tc>
      </w:tr>
      <w:tr>
        <w:trPr>
          <w:cantSplit/>
        </w:trPr>
        <w:tc>
          <w:tcPr>
            <w:tcW w:type="dxa" w:w="2232"/>
            <w:vAlign w:val="center"/>
            <w:tcBorders>
              <w:top w:val="single" w:sz="4" w:color="D7DEE8"/>
              <w:left w:val="single" w:sz="4" w:color="D7DEE8"/>
              <w:bottom w:val="single" w:sz="4" w:color="D7DEE8"/>
              <w:right w:val="single" w:sz="4" w:color="D7DEE8"/>
            </w:tcBorders>
          </w:tcPr>
          <w:p>
            <w:pPr>
              <w:spacing w:after="0"/>
            </w:pPr>
            <w:r>
              <w:rPr>
                <w:sz w:val="16"/>
              </w:rPr>
              <w:t>Support and licenses</w:t>
            </w:r>
          </w:p>
        </w:tc>
        <w:tc>
          <w:tcPr>
            <w:tcW w:type="dxa" w:w="3240"/>
            <w:vAlign w:val="center"/>
            <w:tcBorders>
              <w:top w:val="single" w:sz="4" w:color="D7DEE8"/>
              <w:left w:val="single" w:sz="4" w:color="D7DEE8"/>
              <w:bottom w:val="single" w:sz="4" w:color="D7DEE8"/>
              <w:right w:val="single" w:sz="4" w:color="D7DEE8"/>
            </w:tcBorders>
          </w:tcPr>
          <w:p>
            <w:pPr>
              <w:spacing w:after="0"/>
            </w:pPr>
            <w:r>
              <w:rPr>
                <w:sz w:val="16"/>
              </w:rPr>
              <w:t>IBM, SAP</w:t>
            </w:r>
          </w:p>
        </w:tc>
        <w:tc>
          <w:tcPr>
            <w:tcW w:type="dxa" w:w="4608"/>
            <w:vAlign w:val="center"/>
            <w:tcBorders>
              <w:top w:val="single" w:sz="4" w:color="D7DEE8"/>
              <w:left w:val="single" w:sz="4" w:color="D7DEE8"/>
              <w:bottom w:val="single" w:sz="4" w:color="D7DEE8"/>
              <w:right w:val="single" w:sz="4" w:color="D7DEE8"/>
            </w:tcBorders>
          </w:tcPr>
          <w:p>
            <w:pPr>
              <w:spacing w:after="0"/>
            </w:pPr>
            <w:r>
              <w:rPr>
                <w:sz w:val="16"/>
              </w:rPr>
              <w:t>Mature enterprise-software and support economics</w:t>
            </w:r>
          </w:p>
        </w:tc>
      </w:tr>
      <w:tr>
        <w:trPr>
          <w:cantSplit/>
        </w:trPr>
        <w:tc>
          <w:tcPr>
            <w:tcW w:type="dxa" w:w="2232"/>
            <w:vAlign w:val="center"/>
            <w:shd w:fill="EEF5FB"/>
            <w:tcBorders>
              <w:top w:val="single" w:sz="4" w:color="D7DEE8"/>
              <w:left w:val="single" w:sz="4" w:color="D7DEE8"/>
              <w:bottom w:val="single" w:sz="4" w:color="D7DEE8"/>
              <w:right w:val="single" w:sz="4" w:color="D7DEE8"/>
            </w:tcBorders>
          </w:tcPr>
          <w:p>
            <w:pPr>
              <w:spacing w:after="0"/>
            </w:pPr>
            <w:r>
              <w:rPr>
                <w:sz w:val="16"/>
              </w:rPr>
              <w:t>Hardware and services</w:t>
            </w:r>
          </w:p>
        </w:tc>
        <w:tc>
          <w:tcPr>
            <w:tcW w:type="dxa" w:w="3240"/>
            <w:vAlign w:val="center"/>
            <w:shd w:fill="EEF5FB"/>
            <w:tcBorders>
              <w:top w:val="single" w:sz="4" w:color="D7DEE8"/>
              <w:left w:val="single" w:sz="4" w:color="D7DEE8"/>
              <w:bottom w:val="single" w:sz="4" w:color="D7DEE8"/>
              <w:right w:val="single" w:sz="4" w:color="D7DEE8"/>
            </w:tcBorders>
          </w:tcPr>
          <w:p>
            <w:pPr>
              <w:spacing w:after="0"/>
            </w:pPr>
            <w:r>
              <w:rPr>
                <w:sz w:val="16"/>
              </w:rPr>
              <w:t>IBM and selected infrastructure vendors</w:t>
            </w:r>
          </w:p>
        </w:tc>
        <w:tc>
          <w:tcPr>
            <w:tcW w:type="dxa" w:w="4608"/>
            <w:vAlign w:val="center"/>
            <w:shd w:fill="EEF5FB"/>
            <w:tcBorders>
              <w:top w:val="single" w:sz="4" w:color="D7DEE8"/>
              <w:left w:val="single" w:sz="4" w:color="D7DEE8"/>
              <w:bottom w:val="single" w:sz="4" w:color="D7DEE8"/>
              <w:right w:val="single" w:sz="4" w:color="D7DEE8"/>
            </w:tcBorders>
          </w:tcPr>
          <w:p>
            <w:pPr>
              <w:spacing w:after="0"/>
            </w:pPr>
            <w:r>
              <w:rPr>
                <w:sz w:val="16"/>
              </w:rPr>
              <w:t>Lower-growth product and service economics</w:t>
            </w:r>
          </w:p>
        </w:tc>
      </w:tr>
    </w:tbl>
    <w:p>
      <w:pPr>
        <w:spacing w:after="20"/>
      </w:pPr>
    </w:p>
    <w:p>
      <w:pPr>
        <w:pStyle w:val="Heading2"/>
      </w:pPr>
      <w:r>
        <w:t>Optional application comparables</w:t>
      </w:r>
    </w:p>
    <w:p>
      <w:r>
        <w:t>ServiceNow and Workday can benchmark SaaS growth and recurring margins, but their business mix is materially less capital-intensive.</w:t>
      </w:r>
    </w:p>
    <w:p>
      <w:pPr>
        <w:pStyle w:val="Heading2"/>
      </w:pPr>
      <w:r>
        <w:t>Capital-intensity references</w:t>
      </w:r>
    </w:p>
    <w:p>
      <w:r>
        <w:t>Equinix and Digital Realty can inform lease and data-center capital analysis, but should not anchor Oracle’s consolidated revenue multiple.</w:t>
      </w:r>
    </w:p>
    <w:p>
      <w:pPr>
        <w:pStyle w:val="Heading2"/>
      </w:pPr>
      <w:r>
        <w:t>Companies that should not anchor Oracle’s multiple</w:t>
      </w:r>
    </w:p>
    <w:p>
      <w:pPr>
        <w:pStyle w:val="ExecutiveBullet"/>
      </w:pPr>
      <w:r>
        <w:rPr>
          <w:b/>
        </w:rPr>
        <w:t xml:space="preserve">• </w:t>
      </w:r>
      <w:r>
        <w:t>Nvidia and AMD: semiconductor economics.</w:t>
      </w:r>
    </w:p>
    <w:p>
      <w:pPr>
        <w:pStyle w:val="ExecutiveBullet"/>
      </w:pPr>
      <w:r>
        <w:rPr>
          <w:b/>
        </w:rPr>
        <w:t xml:space="preserve">• </w:t>
      </w:r>
      <w:r>
        <w:t>CoreWeave and other neoclouds: different financing and customer risk.</w:t>
      </w:r>
    </w:p>
    <w:p>
      <w:pPr>
        <w:pStyle w:val="ExecutiveBullet"/>
      </w:pPr>
      <w:r>
        <w:rPr>
          <w:b/>
        </w:rPr>
        <w:t xml:space="preserve">• </w:t>
      </w:r>
      <w:r>
        <w:t>Pure SaaS median: insufficient capital intensity.</w:t>
      </w:r>
    </w:p>
    <w:p>
      <w:pPr>
        <w:pStyle w:val="ExecutiveBullet"/>
      </w:pPr>
      <w:r>
        <w:rPr>
          <w:b/>
        </w:rPr>
        <w:t xml:space="preserve">• </w:t>
      </w:r>
      <w:r>
        <w:t>Broad mega-cap technology median: obscures business mix.</w:t>
      </w:r>
    </w:p>
    <w:p>
      <w:pPr>
        <w:pStyle w:val="ExecutiveBullet"/>
      </w:pPr>
      <w:r>
        <w:rPr>
          <w:b/>
        </w:rPr>
        <w:t xml:space="preserve">• </w:t>
      </w:r>
      <w:r>
        <w:t>Data-center REIT median: different asset ownership and revenue model.</w:t>
      </w:r>
    </w:p>
    <w:p>
      <w:pPr>
        <w:pStyle w:val="Heading1"/>
      </w:pPr>
      <w:r>
        <w:t>7. Recommended valuation methodology</w:t>
      </w:r>
    </w:p>
    <w:p>
      <w:pPr>
        <w:pStyle w:val="Heading2"/>
      </w:pPr>
      <w:r>
        <w:t>Primary method: EV/NTM EBITDA with capital-adjusted controls</w:t>
      </w:r>
    </w:p>
    <w:p>
      <w:r>
        <w:t>EV/NTM EBITDA is the most practical primary method for quarterly targets because it is neutral to changing debt and equity mix, rolls forward cleanly after each earnings release and can support scenario-specific multiple changes.</w:t>
      </w:r>
    </w:p>
    <w:p>
      <w:r>
        <w:t>Its weaknesses are material: EBITDA excludes depreciation, ignores cash required to build infrastructure and can make an economically poor capacity build appear attractive.</w:t>
      </w:r>
    </w:p>
    <w:p>
      <w:pPr>
        <w:pStyle w:val="ExecutiveBullet"/>
      </w:pPr>
      <w:r>
        <w:rPr>
          <w:b/>
          <w:color w:val="2F5597"/>
        </w:rPr>
        <w:t xml:space="preserve">1. </w:t>
      </w:r>
      <w:r>
        <w:t>Capital expenditures as a percentage of revenue</w:t>
      </w:r>
    </w:p>
    <w:p>
      <w:pPr>
        <w:pStyle w:val="ExecutiveBullet"/>
      </w:pPr>
      <w:r>
        <w:rPr>
          <w:b/>
          <w:color w:val="2F5597"/>
        </w:rPr>
        <w:t xml:space="preserve">2. </w:t>
      </w:r>
      <w:r>
        <w:t>EBITDA less capex</w:t>
      </w:r>
    </w:p>
    <w:p>
      <w:pPr>
        <w:pStyle w:val="ExecutiveBullet"/>
      </w:pPr>
      <w:r>
        <w:rPr>
          <w:b/>
          <w:color w:val="2F5597"/>
        </w:rPr>
        <w:t xml:space="preserve">3. </w:t>
      </w:r>
      <w:r>
        <w:t>Operating cash flow less capex</w:t>
      </w:r>
    </w:p>
    <w:p>
      <w:pPr>
        <w:pStyle w:val="ExecutiveBullet"/>
      </w:pPr>
      <w:r>
        <w:rPr>
          <w:b/>
          <w:color w:val="2F5597"/>
        </w:rPr>
        <w:t xml:space="preserve">4. </w:t>
      </w:r>
      <w:r>
        <w:t>Lease-adjusted net leverage</w:t>
      </w:r>
    </w:p>
    <w:p>
      <w:pPr>
        <w:pStyle w:val="ExecutiveBullet"/>
      </w:pPr>
      <w:r>
        <w:rPr>
          <w:b/>
          <w:color w:val="2F5597"/>
        </w:rPr>
        <w:t xml:space="preserve">5. </w:t>
      </w:r>
      <w:r>
        <w:t>Incremental return on invested capital</w:t>
      </w:r>
    </w:p>
    <w:p>
      <w:pPr>
        <w:pStyle w:val="ExecutiveBullet"/>
      </w:pPr>
      <w:r>
        <w:rPr>
          <w:b/>
          <w:color w:val="2F5597"/>
        </w:rPr>
        <w:t xml:space="preserve">6. </w:t>
      </w:r>
      <w:r>
        <w:t>Shadow sum-of-the-parts valuation</w:t>
      </w:r>
    </w:p>
    <w:tbl>
      <w:tblPr>
        <w:tblStyle w:val="TableGrid"/>
        <w:tblW w:type="auto" w:w="0"/>
        <w:jc w:val="center"/>
        <w:tblLayout w:type="fixed"/>
        <w:tblLook w:firstColumn="1" w:firstRow="1" w:lastColumn="0" w:lastRow="0" w:noHBand="0" w:noVBand="1" w:val="04A0"/>
      </w:tblPr>
      <w:tblGrid>
        <w:gridCol w:w="3389"/>
        <w:gridCol w:w="3389"/>
        <w:gridCol w:w="3389"/>
      </w:tblGrid>
      <w:tr>
        <w:trPr>
          <w:cantSplit/>
        </w:trPr>
        <w:tc>
          <w:tcPr>
            <w:tcW w:type="dxa" w:w="1800"/>
            <w:vAlign w:val="center"/>
            <w:shd w:fill="17365D"/>
            <w:tcBorders>
              <w:top w:val="single" w:sz="4" w:color="D7DEE8"/>
              <w:left w:val="single" w:sz="4" w:color="D7DEE8"/>
              <w:bottom w:val="single" w:sz="4" w:color="D7DEE8"/>
              <w:right w:val="single" w:sz="4" w:color="D7DEE8"/>
            </w:tcBorders>
          </w:tcPr>
          <w:p>
            <w:r>
              <w:rPr>
                <w:b/>
                <w:color w:val="FFFFFF"/>
                <w:sz w:val="15"/>
              </w:rPr>
              <w:t>Method</w:t>
            </w:r>
          </w:p>
        </w:tc>
        <w:tc>
          <w:tcPr>
            <w:tcW w:type="dxa" w:w="4032"/>
            <w:vAlign w:val="center"/>
            <w:shd w:fill="17365D"/>
            <w:tcBorders>
              <w:top w:val="single" w:sz="4" w:color="D7DEE8"/>
              <w:left w:val="single" w:sz="4" w:color="D7DEE8"/>
              <w:bottom w:val="single" w:sz="4" w:color="D7DEE8"/>
              <w:right w:val="single" w:sz="4" w:color="D7DEE8"/>
            </w:tcBorders>
          </w:tcPr>
          <w:p>
            <w:r>
              <w:rPr>
                <w:b/>
                <w:color w:val="FFFFFF"/>
                <w:sz w:val="15"/>
              </w:rPr>
              <w:t>Advantages for Oracle</w:t>
            </w:r>
          </w:p>
        </w:tc>
        <w:tc>
          <w:tcPr>
            <w:tcW w:type="dxa" w:w="4464"/>
            <w:vAlign w:val="center"/>
            <w:shd w:fill="17365D"/>
            <w:tcBorders>
              <w:top w:val="single" w:sz="4" w:color="D7DEE8"/>
              <w:left w:val="single" w:sz="4" w:color="D7DEE8"/>
              <w:bottom w:val="single" w:sz="4" w:color="D7DEE8"/>
              <w:right w:val="single" w:sz="4" w:color="D7DEE8"/>
            </w:tcBorders>
          </w:tcPr>
          <w:p>
            <w:r>
              <w:rPr>
                <w:b/>
                <w:color w:val="FFFFFF"/>
                <w:sz w:val="15"/>
              </w:rPr>
              <w:t>Weaknesses for Oracle</w:t>
            </w:r>
          </w:p>
        </w:tc>
      </w:tr>
      <w:tr>
        <w:trPr>
          <w:cantSplit/>
        </w:trPr>
        <w:tc>
          <w:tcPr>
            <w:tcW w:type="dxa" w:w="1800"/>
            <w:vAlign w:val="center"/>
            <w:tcBorders>
              <w:top w:val="single" w:sz="4" w:color="D7DEE8"/>
              <w:left w:val="single" w:sz="4" w:color="D7DEE8"/>
              <w:bottom w:val="single" w:sz="4" w:color="D7DEE8"/>
              <w:right w:val="single" w:sz="4" w:color="D7DEE8"/>
            </w:tcBorders>
          </w:tcPr>
          <w:p>
            <w:pPr>
              <w:spacing w:after="0"/>
            </w:pPr>
            <w:r>
              <w:rPr>
                <w:sz w:val="15"/>
              </w:rPr>
              <w:t>P/NTM EPS</w:t>
            </w:r>
          </w:p>
        </w:tc>
        <w:tc>
          <w:tcPr>
            <w:tcW w:type="dxa" w:w="4032"/>
            <w:vAlign w:val="center"/>
            <w:tcBorders>
              <w:top w:val="single" w:sz="4" w:color="D7DEE8"/>
              <w:left w:val="single" w:sz="4" w:color="D7DEE8"/>
              <w:bottom w:val="single" w:sz="4" w:color="D7DEE8"/>
              <w:right w:val="single" w:sz="4" w:color="D7DEE8"/>
            </w:tcBorders>
          </w:tcPr>
          <w:p>
            <w:pPr>
              <w:spacing w:after="0"/>
            </w:pPr>
            <w:r>
              <w:rPr>
                <w:sz w:val="15"/>
              </w:rPr>
              <w:t>Direct per-share output; comparable with management EPS guidance; captures interest and dilution</w:t>
            </w:r>
          </w:p>
        </w:tc>
        <w:tc>
          <w:tcPr>
            <w:tcW w:type="dxa" w:w="4464"/>
            <w:vAlign w:val="center"/>
            <w:tcBorders>
              <w:top w:val="single" w:sz="4" w:color="D7DEE8"/>
              <w:left w:val="single" w:sz="4" w:color="D7DEE8"/>
              <w:bottom w:val="single" w:sz="4" w:color="D7DEE8"/>
              <w:right w:val="single" w:sz="4" w:color="D7DEE8"/>
            </w:tcBorders>
          </w:tcPr>
          <w:p>
            <w:pPr>
              <w:spacing w:after="0"/>
            </w:pPr>
            <w:r>
              <w:rPr>
                <w:sz w:val="15"/>
              </w:rPr>
              <w:t>Sensitive to financing, tax, preferred dividends, non-GAAP adjustments and share issuance</w:t>
            </w:r>
          </w:p>
        </w:tc>
      </w:tr>
      <w:tr>
        <w:trPr>
          <w:cantSplit/>
        </w:trPr>
        <w:tc>
          <w:tcPr>
            <w:tcW w:type="dxa" w:w="1800"/>
            <w:vAlign w:val="center"/>
            <w:shd w:fill="EEF5FB"/>
            <w:tcBorders>
              <w:top w:val="single" w:sz="4" w:color="D7DEE8"/>
              <w:left w:val="single" w:sz="4" w:color="D7DEE8"/>
              <w:bottom w:val="single" w:sz="4" w:color="D7DEE8"/>
              <w:right w:val="single" w:sz="4" w:color="D7DEE8"/>
            </w:tcBorders>
          </w:tcPr>
          <w:p>
            <w:pPr>
              <w:spacing w:after="0"/>
            </w:pPr>
            <w:r>
              <w:rPr>
                <w:sz w:val="15"/>
              </w:rPr>
              <w:t>EV/NTM revenue</w:t>
            </w:r>
          </w:p>
        </w:tc>
        <w:tc>
          <w:tcPr>
            <w:tcW w:type="dxa" w:w="4032"/>
            <w:vAlign w:val="center"/>
            <w:shd w:fill="EEF5FB"/>
            <w:tcBorders>
              <w:top w:val="single" w:sz="4" w:color="D7DEE8"/>
              <w:left w:val="single" w:sz="4" w:color="D7DEE8"/>
              <w:bottom w:val="single" w:sz="4" w:color="D7DEE8"/>
              <w:right w:val="single" w:sz="4" w:color="D7DEE8"/>
            </w:tcBorders>
          </w:tcPr>
          <w:p>
            <w:pPr>
              <w:spacing w:after="0"/>
            </w:pPr>
            <w:r>
              <w:rPr>
                <w:sz w:val="15"/>
              </w:rPr>
              <w:t>Useful for temporarily depressed OCI margins; supports OCI SOTP</w:t>
            </w:r>
          </w:p>
        </w:tc>
        <w:tc>
          <w:tcPr>
            <w:tcW w:type="dxa" w:w="4464"/>
            <w:vAlign w:val="center"/>
            <w:shd w:fill="EEF5FB"/>
            <w:tcBorders>
              <w:top w:val="single" w:sz="4" w:color="D7DEE8"/>
              <w:left w:val="single" w:sz="4" w:color="D7DEE8"/>
              <w:bottom w:val="single" w:sz="4" w:color="D7DEE8"/>
              <w:right w:val="single" w:sz="4" w:color="D7DEE8"/>
            </w:tcBorders>
          </w:tcPr>
          <w:p>
            <w:pPr>
              <w:spacing w:after="0"/>
            </w:pPr>
            <w:r>
              <w:rPr>
                <w:sz w:val="15"/>
              </w:rPr>
              <w:t>Inappropriate for Oracle as a whole; ignores margin and capital intensity</w:t>
            </w:r>
          </w:p>
        </w:tc>
      </w:tr>
      <w:tr>
        <w:trPr>
          <w:cantSplit/>
        </w:trPr>
        <w:tc>
          <w:tcPr>
            <w:tcW w:type="dxa" w:w="1800"/>
            <w:vAlign w:val="center"/>
            <w:tcBorders>
              <w:top w:val="single" w:sz="4" w:color="D7DEE8"/>
              <w:left w:val="single" w:sz="4" w:color="D7DEE8"/>
              <w:bottom w:val="single" w:sz="4" w:color="D7DEE8"/>
              <w:right w:val="single" w:sz="4" w:color="D7DEE8"/>
            </w:tcBorders>
          </w:tcPr>
          <w:p>
            <w:pPr>
              <w:spacing w:after="0"/>
            </w:pPr>
            <w:r>
              <w:rPr>
                <w:sz w:val="15"/>
              </w:rPr>
              <w:t>Sum of the parts</w:t>
            </w:r>
          </w:p>
        </w:tc>
        <w:tc>
          <w:tcPr>
            <w:tcW w:type="dxa" w:w="4032"/>
            <w:vAlign w:val="center"/>
            <w:tcBorders>
              <w:top w:val="single" w:sz="4" w:color="D7DEE8"/>
              <w:left w:val="single" w:sz="4" w:color="D7DEE8"/>
              <w:bottom w:val="single" w:sz="4" w:color="D7DEE8"/>
              <w:right w:val="single" w:sz="4" w:color="D7DEE8"/>
            </w:tcBorders>
          </w:tcPr>
          <w:p>
            <w:pPr>
              <w:spacing w:after="0"/>
            </w:pPr>
            <w:r>
              <w:rPr>
                <w:sz w:val="15"/>
              </w:rPr>
              <w:t>Reflects mixed portfolio and isolates OCI value</w:t>
            </w:r>
          </w:p>
        </w:tc>
        <w:tc>
          <w:tcPr>
            <w:tcW w:type="dxa" w:w="4464"/>
            <w:vAlign w:val="center"/>
            <w:tcBorders>
              <w:top w:val="single" w:sz="4" w:color="D7DEE8"/>
              <w:left w:val="single" w:sz="4" w:color="D7DEE8"/>
              <w:bottom w:val="single" w:sz="4" w:color="D7DEE8"/>
              <w:right w:val="single" w:sz="4" w:color="D7DEE8"/>
            </w:tcBorders>
          </w:tcPr>
          <w:p>
            <w:pPr>
              <w:spacing w:after="0"/>
            </w:pPr>
            <w:r>
              <w:rPr>
                <w:sz w:val="15"/>
              </w:rPr>
              <w:t>Limited segment profit disclosure; subjective cost and capital allocation</w:t>
            </w:r>
          </w:p>
        </w:tc>
      </w:tr>
      <w:tr>
        <w:trPr>
          <w:cantSplit/>
        </w:trPr>
        <w:tc>
          <w:tcPr>
            <w:tcW w:type="dxa" w:w="1800"/>
            <w:vAlign w:val="center"/>
            <w:shd w:fill="EEF5FB"/>
            <w:tcBorders>
              <w:top w:val="single" w:sz="4" w:color="D7DEE8"/>
              <w:left w:val="single" w:sz="4" w:color="D7DEE8"/>
              <w:bottom w:val="single" w:sz="4" w:color="D7DEE8"/>
              <w:right w:val="single" w:sz="4" w:color="D7DEE8"/>
            </w:tcBorders>
          </w:tcPr>
          <w:p>
            <w:pPr>
              <w:spacing w:after="0"/>
            </w:pPr>
            <w:r>
              <w:rPr>
                <w:sz w:val="15"/>
              </w:rPr>
              <w:t>Discounted cash flow</w:t>
            </w:r>
          </w:p>
        </w:tc>
        <w:tc>
          <w:tcPr>
            <w:tcW w:type="dxa" w:w="4032"/>
            <w:vAlign w:val="center"/>
            <w:shd w:fill="EEF5FB"/>
            <w:tcBorders>
              <w:top w:val="single" w:sz="4" w:color="D7DEE8"/>
              <w:left w:val="single" w:sz="4" w:color="D7DEE8"/>
              <w:bottom w:val="single" w:sz="4" w:color="D7DEE8"/>
              <w:right w:val="single" w:sz="4" w:color="D7DEE8"/>
            </w:tcBorders>
          </w:tcPr>
          <w:p>
            <w:pPr>
              <w:spacing w:after="0"/>
            </w:pPr>
            <w:r>
              <w:rPr>
                <w:sz w:val="15"/>
              </w:rPr>
              <w:t>Captures capex, debt, leases and terminal cash generation</w:t>
            </w:r>
          </w:p>
        </w:tc>
        <w:tc>
          <w:tcPr>
            <w:tcW w:type="dxa" w:w="4464"/>
            <w:vAlign w:val="center"/>
            <w:shd w:fill="EEF5FB"/>
            <w:tcBorders>
              <w:top w:val="single" w:sz="4" w:color="D7DEE8"/>
              <w:left w:val="single" w:sz="4" w:color="D7DEE8"/>
              <w:bottom w:val="single" w:sz="4" w:color="D7DEE8"/>
              <w:right w:val="single" w:sz="4" w:color="D7DEE8"/>
            </w:tcBorders>
          </w:tcPr>
          <w:p>
            <w:pPr>
              <w:spacing w:after="0"/>
            </w:pPr>
            <w:r>
              <w:rPr>
                <w:sz w:val="15"/>
              </w:rPr>
              <w:t>Dominated by uncertain capex normalization and terminal assumptions</w:t>
            </w:r>
          </w:p>
        </w:tc>
      </w:tr>
    </w:tbl>
    <w:p>
      <w:pPr>
        <w:spacing w:after="20"/>
      </w:pPr>
    </w:p>
    <w:p>
      <w:pPr>
        <w:pStyle w:val="Heading1"/>
      </w:pPr>
      <w:r>
        <w:t>8. Recommended multiple framework</w:t>
      </w:r>
    </w:p>
    <w:p>
      <w:r>
        <w:t>The following are analytical assumptions, not current consensus or peer medians.</w:t>
      </w:r>
    </w:p>
    <w:tbl>
      <w:tblPr>
        <w:tblStyle w:val="TableGrid"/>
        <w:tblW w:type="auto" w:w="0"/>
        <w:jc w:val="center"/>
        <w:tblLayout w:type="fixed"/>
        <w:tblLook w:firstColumn="1" w:firstRow="1" w:lastColumn="0" w:lastRow="0" w:noHBand="0" w:noVBand="1" w:val="04A0"/>
      </w:tblPr>
      <w:tblGrid>
        <w:gridCol w:w="3389"/>
        <w:gridCol w:w="3389"/>
        <w:gridCol w:w="3389"/>
      </w:tblGrid>
      <w:tr>
        <w:trPr>
          <w:cantSplit/>
        </w:trPr>
        <w:tc>
          <w:tcPr>
            <w:tcW w:type="dxa" w:w="3168"/>
            <w:vAlign w:val="center"/>
            <w:shd w:fill="17365D"/>
            <w:tcBorders>
              <w:top w:val="single" w:sz="4" w:color="D7DEE8"/>
              <w:left w:val="single" w:sz="4" w:color="D7DEE8"/>
              <w:bottom w:val="single" w:sz="4" w:color="D7DEE8"/>
              <w:right w:val="single" w:sz="4" w:color="D7DEE8"/>
            </w:tcBorders>
          </w:tcPr>
          <w:p>
            <w:r>
              <w:rPr>
                <w:b/>
                <w:color w:val="FFFFFF"/>
                <w:sz w:val="17"/>
              </w:rPr>
              <w:t>Scenario</w:t>
            </w:r>
          </w:p>
        </w:tc>
        <w:tc>
          <w:tcPr>
            <w:tcW w:type="dxa" w:w="3168"/>
            <w:vAlign w:val="center"/>
            <w:shd w:fill="17365D"/>
            <w:tcBorders>
              <w:top w:val="single" w:sz="4" w:color="D7DEE8"/>
              <w:left w:val="single" w:sz="4" w:color="D7DEE8"/>
              <w:bottom w:val="single" w:sz="4" w:color="D7DEE8"/>
              <w:right w:val="single" w:sz="4" w:color="D7DEE8"/>
            </w:tcBorders>
          </w:tcPr>
          <w:p>
            <w:r>
              <w:rPr>
                <w:b/>
                <w:color w:val="FFFFFF"/>
                <w:sz w:val="17"/>
              </w:rPr>
              <w:t>EV/NTM EBITDA</w:t>
            </w:r>
          </w:p>
        </w:tc>
        <w:tc>
          <w:tcPr>
            <w:tcW w:type="dxa" w:w="3168"/>
            <w:vAlign w:val="center"/>
            <w:shd w:fill="17365D"/>
            <w:tcBorders>
              <w:top w:val="single" w:sz="4" w:color="D7DEE8"/>
              <w:left w:val="single" w:sz="4" w:color="D7DEE8"/>
              <w:bottom w:val="single" w:sz="4" w:color="D7DEE8"/>
              <w:right w:val="single" w:sz="4" w:color="D7DEE8"/>
            </w:tcBorders>
          </w:tcPr>
          <w:p>
            <w:r>
              <w:rPr>
                <w:b/>
                <w:color w:val="FFFFFF"/>
                <w:sz w:val="17"/>
              </w:rPr>
              <w:t>P/NTM adjusted EPS</w:t>
            </w:r>
          </w:p>
        </w:tc>
      </w:tr>
      <w:tr>
        <w:trPr>
          <w:cantSplit/>
        </w:trPr>
        <w:tc>
          <w:tcPr>
            <w:tcW w:type="dxa" w:w="3168"/>
            <w:vAlign w:val="center"/>
            <w:tcBorders>
              <w:top w:val="single" w:sz="4" w:color="D7DEE8"/>
              <w:left w:val="single" w:sz="4" w:color="D7DEE8"/>
              <w:bottom w:val="single" w:sz="4" w:color="D7DEE8"/>
              <w:right w:val="single" w:sz="4" w:color="D7DEE8"/>
            </w:tcBorders>
          </w:tcPr>
          <w:p>
            <w:pPr>
              <w:spacing w:after="0"/>
            </w:pPr>
            <w:r>
              <w:rPr>
                <w:sz w:val="17"/>
              </w:rPr>
              <w:t>Bear</w:t>
            </w:r>
          </w:p>
        </w:tc>
        <w:tc>
          <w:tcPr>
            <w:tcW w:type="dxa" w:w="3168"/>
            <w:vAlign w:val="center"/>
            <w:tcBorders>
              <w:top w:val="single" w:sz="4" w:color="D7DEE8"/>
              <w:left w:val="single" w:sz="4" w:color="D7DEE8"/>
              <w:bottom w:val="single" w:sz="4" w:color="D7DEE8"/>
              <w:right w:val="single" w:sz="4" w:color="D7DEE8"/>
            </w:tcBorders>
          </w:tcPr>
          <w:p>
            <w:pPr>
              <w:spacing w:after="0"/>
            </w:pPr>
            <w:r>
              <w:rPr>
                <w:sz w:val="17"/>
              </w:rPr>
              <w:t>9x to 11x</w:t>
            </w:r>
          </w:p>
        </w:tc>
        <w:tc>
          <w:tcPr>
            <w:tcW w:type="dxa" w:w="3168"/>
            <w:vAlign w:val="center"/>
            <w:tcBorders>
              <w:top w:val="single" w:sz="4" w:color="D7DEE8"/>
              <w:left w:val="single" w:sz="4" w:color="D7DEE8"/>
              <w:bottom w:val="single" w:sz="4" w:color="D7DEE8"/>
              <w:right w:val="single" w:sz="4" w:color="D7DEE8"/>
            </w:tcBorders>
          </w:tcPr>
          <w:p>
            <w:pPr>
              <w:spacing w:after="0"/>
            </w:pPr>
            <w:r>
              <w:rPr>
                <w:sz w:val="17"/>
              </w:rPr>
              <w:t>14x to 16x</w:t>
            </w:r>
          </w:p>
        </w:tc>
      </w:tr>
      <w:tr>
        <w:trPr>
          <w:cantSplit/>
        </w:trPr>
        <w:tc>
          <w:tcPr>
            <w:tcW w:type="dxa" w:w="3168"/>
            <w:vAlign w:val="center"/>
            <w:shd w:fill="EEF5FB"/>
            <w:tcBorders>
              <w:top w:val="single" w:sz="4" w:color="D7DEE8"/>
              <w:left w:val="single" w:sz="4" w:color="D7DEE8"/>
              <w:bottom w:val="single" w:sz="4" w:color="D7DEE8"/>
              <w:right w:val="single" w:sz="4" w:color="D7DEE8"/>
            </w:tcBorders>
          </w:tcPr>
          <w:p>
            <w:pPr>
              <w:spacing w:after="0"/>
            </w:pPr>
            <w:r>
              <w:rPr>
                <w:sz w:val="17"/>
              </w:rPr>
              <w:t>Base</w:t>
            </w:r>
          </w:p>
        </w:tc>
        <w:tc>
          <w:tcPr>
            <w:tcW w:type="dxa" w:w="3168"/>
            <w:vAlign w:val="center"/>
            <w:shd w:fill="EEF5FB"/>
            <w:tcBorders>
              <w:top w:val="single" w:sz="4" w:color="D7DEE8"/>
              <w:left w:val="single" w:sz="4" w:color="D7DEE8"/>
              <w:bottom w:val="single" w:sz="4" w:color="D7DEE8"/>
              <w:right w:val="single" w:sz="4" w:color="D7DEE8"/>
            </w:tcBorders>
          </w:tcPr>
          <w:p>
            <w:pPr>
              <w:spacing w:after="0"/>
            </w:pPr>
            <w:r>
              <w:rPr>
                <w:sz w:val="17"/>
              </w:rPr>
              <w:t>12x to 14x</w:t>
            </w:r>
          </w:p>
        </w:tc>
        <w:tc>
          <w:tcPr>
            <w:tcW w:type="dxa" w:w="3168"/>
            <w:vAlign w:val="center"/>
            <w:shd w:fill="EEF5FB"/>
            <w:tcBorders>
              <w:top w:val="single" w:sz="4" w:color="D7DEE8"/>
              <w:left w:val="single" w:sz="4" w:color="D7DEE8"/>
              <w:bottom w:val="single" w:sz="4" w:color="D7DEE8"/>
              <w:right w:val="single" w:sz="4" w:color="D7DEE8"/>
            </w:tcBorders>
          </w:tcPr>
          <w:p>
            <w:pPr>
              <w:spacing w:after="0"/>
            </w:pPr>
            <w:r>
              <w:rPr>
                <w:sz w:val="17"/>
              </w:rPr>
              <w:t>18x to 21x</w:t>
            </w:r>
          </w:p>
        </w:tc>
      </w:tr>
      <w:tr>
        <w:trPr>
          <w:cantSplit/>
        </w:trPr>
        <w:tc>
          <w:tcPr>
            <w:tcW w:type="dxa" w:w="3168"/>
            <w:vAlign w:val="center"/>
            <w:tcBorders>
              <w:top w:val="single" w:sz="4" w:color="D7DEE8"/>
              <w:left w:val="single" w:sz="4" w:color="D7DEE8"/>
              <w:bottom w:val="single" w:sz="4" w:color="D7DEE8"/>
              <w:right w:val="single" w:sz="4" w:color="D7DEE8"/>
            </w:tcBorders>
          </w:tcPr>
          <w:p>
            <w:pPr>
              <w:spacing w:after="0"/>
            </w:pPr>
            <w:r>
              <w:rPr>
                <w:sz w:val="17"/>
              </w:rPr>
              <w:t>Bull</w:t>
            </w:r>
          </w:p>
        </w:tc>
        <w:tc>
          <w:tcPr>
            <w:tcW w:type="dxa" w:w="3168"/>
            <w:vAlign w:val="center"/>
            <w:tcBorders>
              <w:top w:val="single" w:sz="4" w:color="D7DEE8"/>
              <w:left w:val="single" w:sz="4" w:color="D7DEE8"/>
              <w:bottom w:val="single" w:sz="4" w:color="D7DEE8"/>
              <w:right w:val="single" w:sz="4" w:color="D7DEE8"/>
            </w:tcBorders>
          </w:tcPr>
          <w:p>
            <w:pPr>
              <w:spacing w:after="0"/>
            </w:pPr>
            <w:r>
              <w:rPr>
                <w:sz w:val="17"/>
              </w:rPr>
              <w:t>15x to 17x</w:t>
            </w:r>
          </w:p>
        </w:tc>
        <w:tc>
          <w:tcPr>
            <w:tcW w:type="dxa" w:w="3168"/>
            <w:vAlign w:val="center"/>
            <w:tcBorders>
              <w:top w:val="single" w:sz="4" w:color="D7DEE8"/>
              <w:left w:val="single" w:sz="4" w:color="D7DEE8"/>
              <w:bottom w:val="single" w:sz="4" w:color="D7DEE8"/>
              <w:right w:val="single" w:sz="4" w:color="D7DEE8"/>
            </w:tcBorders>
          </w:tcPr>
          <w:p>
            <w:pPr>
              <w:spacing w:after="0"/>
            </w:pPr>
            <w:r>
              <w:rPr>
                <w:sz w:val="17"/>
              </w:rPr>
              <w:t>23x to 26x</w:t>
            </w:r>
          </w:p>
        </w:tc>
      </w:tr>
    </w:tbl>
    <w:p>
      <w:pPr>
        <w:spacing w:after="20"/>
      </w:pPr>
    </w:p>
    <w:p>
      <w:pPr>
        <w:pStyle w:val="Formula"/>
      </w:pPr>
      <w:r>
        <w:t>Oracle Multiple = Peer Reference + Growth Adjustment + Margin Adjustment − Capital Intensity − Leverage − Concentration − Execution Risk − FCF Penalty</w:t>
      </w:r>
      <w:r>
        <w:br/>
      </w:r>
    </w:p>
    <w:p>
      <w:pPr>
        <w:pStyle w:val="Heading2"/>
      </w:pPr>
      <w:r>
        <w:t>Potential premium factors</w:t>
      </w:r>
    </w:p>
    <w:p>
      <w:pPr>
        <w:pStyle w:val="ExecutiveBullet"/>
      </w:pPr>
      <w:r>
        <w:rPr>
          <w:b/>
        </w:rPr>
        <w:t xml:space="preserve">• </w:t>
      </w:r>
      <w:r>
        <w:t>OCI growth above 100%</w:t>
      </w:r>
    </w:p>
    <w:p>
      <w:pPr>
        <w:pStyle w:val="ExecutiveBullet"/>
      </w:pPr>
      <w:r>
        <w:rPr>
          <w:b/>
        </w:rPr>
        <w:t xml:space="preserve">• </w:t>
      </w:r>
      <w:r>
        <w:t>Extremely large contractual backlog</w:t>
      </w:r>
    </w:p>
    <w:p>
      <w:pPr>
        <w:pStyle w:val="ExecutiveBullet"/>
      </w:pPr>
      <w:r>
        <w:rPr>
          <w:b/>
        </w:rPr>
        <w:t xml:space="preserve">• </w:t>
      </w:r>
      <w:r>
        <w:t>Scarce AI-compute capacity</w:t>
      </w:r>
    </w:p>
    <w:p>
      <w:pPr>
        <w:pStyle w:val="ExecutiveBullet"/>
      </w:pPr>
      <w:r>
        <w:rPr>
          <w:b/>
        </w:rPr>
        <w:t xml:space="preserve">• </w:t>
      </w:r>
      <w:r>
        <w:t>Integrated database and infrastructure offering</w:t>
      </w:r>
    </w:p>
    <w:p>
      <w:pPr>
        <w:pStyle w:val="ExecutiveBullet"/>
      </w:pPr>
      <w:r>
        <w:rPr>
          <w:b/>
        </w:rPr>
        <w:t xml:space="preserve">• </w:t>
      </w:r>
      <w:r>
        <w:t>High recurring support and applications revenue</w:t>
      </w:r>
    </w:p>
    <w:p>
      <w:pPr>
        <w:pStyle w:val="ExecutiveBullet"/>
      </w:pPr>
      <w:r>
        <w:rPr>
          <w:b/>
        </w:rPr>
        <w:t xml:space="preserve">• </w:t>
      </w:r>
      <w:r>
        <w:t>Strong utilization</w:t>
      </w:r>
    </w:p>
    <w:p>
      <w:pPr>
        <w:pStyle w:val="ExecutiveBullet"/>
      </w:pPr>
      <w:r>
        <w:rPr>
          <w:b/>
        </w:rPr>
        <w:t xml:space="preserve">• </w:t>
      </w:r>
      <w:r>
        <w:t>Potential margin improvement after utilization ramps</w:t>
      </w:r>
    </w:p>
    <w:p>
      <w:pPr>
        <w:pStyle w:val="ExecutiveBullet"/>
      </w:pPr>
      <w:r>
        <w:rPr>
          <w:b/>
        </w:rPr>
        <w:t xml:space="preserve">• </w:t>
      </w:r>
      <w:r>
        <w:t>Multicloud database differentiation</w:t>
      </w:r>
    </w:p>
    <w:p>
      <w:pPr>
        <w:pStyle w:val="Heading2"/>
      </w:pPr>
      <w:r>
        <w:t>Potential discount factors</w:t>
      </w:r>
    </w:p>
    <w:p>
      <w:pPr>
        <w:pStyle w:val="ExecutiveBullet"/>
      </w:pPr>
      <w:r>
        <w:rPr>
          <w:b/>
        </w:rPr>
        <w:t xml:space="preserve">• </w:t>
      </w:r>
      <w:r>
        <w:t>Capex larger than annual operating cash flow</w:t>
      </w:r>
    </w:p>
    <w:p>
      <w:pPr>
        <w:pStyle w:val="ExecutiveBullet"/>
      </w:pPr>
      <w:r>
        <w:rPr>
          <w:b/>
        </w:rPr>
        <w:t xml:space="preserve">• </w:t>
      </w:r>
      <w:r>
        <w:t>Material debt and lease obligations</w:t>
      </w:r>
    </w:p>
    <w:p>
      <w:pPr>
        <w:pStyle w:val="ExecutiveBullet"/>
      </w:pPr>
      <w:r>
        <w:rPr>
          <w:b/>
        </w:rPr>
        <w:t xml:space="preserve">• </w:t>
      </w:r>
      <w:r>
        <w:t>Concentrated AI customers</w:t>
      </w:r>
    </w:p>
    <w:p>
      <w:pPr>
        <w:pStyle w:val="ExecutiveBullet"/>
      </w:pPr>
      <w:r>
        <w:rPr>
          <w:b/>
        </w:rPr>
        <w:t xml:space="preserve">• </w:t>
      </w:r>
      <w:r>
        <w:t>Execution dependence on large facilities</w:t>
      </w:r>
    </w:p>
    <w:p>
      <w:pPr>
        <w:pStyle w:val="ExecutiveBullet"/>
      </w:pPr>
      <w:r>
        <w:rPr>
          <w:b/>
        </w:rPr>
        <w:t xml:space="preserve">• </w:t>
      </w:r>
      <w:r>
        <w:t>Negative free cash flow</w:t>
      </w:r>
    </w:p>
    <w:p>
      <w:pPr>
        <w:pStyle w:val="ExecutiveBullet"/>
      </w:pPr>
      <w:r>
        <w:rPr>
          <w:b/>
        </w:rPr>
        <w:t xml:space="preserve">• </w:t>
      </w:r>
      <w:r>
        <w:t>Potential common-stock dilution</w:t>
      </w:r>
    </w:p>
    <w:p>
      <w:pPr>
        <w:pStyle w:val="ExecutiveBullet"/>
      </w:pPr>
      <w:r>
        <w:rPr>
          <w:b/>
        </w:rPr>
        <w:t xml:space="preserve">• </w:t>
      </w:r>
      <w:r>
        <w:t>Lower infrastructure margins than traditional software</w:t>
      </w:r>
    </w:p>
    <w:p>
      <w:pPr>
        <w:pStyle w:val="ExecutiveBullet"/>
      </w:pPr>
      <w:r>
        <w:rPr>
          <w:b/>
        </w:rPr>
        <w:t xml:space="preserve">• </w:t>
      </w:r>
      <w:r>
        <w:t>Limited segment profitability disclosure</w:t>
      </w:r>
    </w:p>
    <w:p>
      <w:pPr>
        <w:pStyle w:val="ExecutiveBullet"/>
      </w:pPr>
      <w:r>
        <w:rPr>
          <w:b/>
        </w:rPr>
        <w:t xml:space="preserve">• </w:t>
      </w:r>
      <w:r>
        <w:t>Credit-rating pressure</w:t>
      </w:r>
    </w:p>
    <w:p>
      <w:pPr>
        <w:pStyle w:val="ExecutiveBullet"/>
      </w:pPr>
      <w:r>
        <w:rPr>
          <w:b/>
        </w:rPr>
        <w:t xml:space="preserve">• </w:t>
      </w:r>
      <w:r>
        <w:t>Uncertain maintenance capex</w:t>
      </w:r>
    </w:p>
    <w:tbl>
      <w:tblPr>
        <w:tblW w:type="auto" w:w="0"/>
        <w:jc w:val="center"/>
        <w:tblLook w:firstColumn="1" w:firstRow="1" w:lastColumn="0" w:lastRow="0" w:noHBand="0" w:noVBand="1" w:val="04A0"/>
      </w:tblPr>
      <w:tblGrid>
        <w:gridCol w:w="10166"/>
      </w:tblGrid>
      <w:tr>
        <w:trPr>
          <w:cantSplit/>
        </w:trPr>
        <w:tc>
          <w:tcPr>
            <w:tcW w:type="dxa" w:w="10166"/>
            <w:shd w:fill="D9EAF7"/>
            <w:tcBorders>
              <w:top w:val="single" w:sz="10" w:color="2F5597"/>
              <w:left w:val="single" w:sz="10" w:color="2F5597"/>
              <w:bottom w:val="single" w:sz="10" w:color="2F5597"/>
              <w:right w:val="single" w:sz="10" w:color="2F5597"/>
            </w:tcBorders>
          </w:tcPr>
          <w:p>
            <w:pPr>
              <w:spacing w:after="60"/>
            </w:pPr>
            <w:r>
              <w:rPr>
                <w:b/>
                <w:color w:val="17365D"/>
                <w:sz w:val="20"/>
              </w:rPr>
              <w:t>Valuation principle</w:t>
            </w:r>
          </w:p>
          <w:p>
            <w:pPr>
              <w:spacing w:after="20"/>
            </w:pPr>
            <w:r>
              <w:rPr>
                <w:sz w:val="18"/>
              </w:rPr>
              <w:t>Oracle should not receive a higher multiple merely because RPO rises. It should receive a higher multiple when RPO converts into revenue, margins, cash flow and reduced leverage.</w:t>
            </w:r>
          </w:p>
        </w:tc>
      </w:tr>
    </w:tbl>
    <w:p>
      <w:pPr>
        <w:spacing w:after="20"/>
      </w:pPr>
    </w:p>
    <w:p>
      <w:pPr>
        <w:pStyle w:val="Heading1"/>
      </w:pPr>
      <w:r>
        <w:t>9. Operationally distinct scenarios</w:t>
      </w:r>
    </w:p>
    <w:p>
      <w:pPr>
        <w:pStyle w:val="Heading2"/>
      </w:pPr>
      <w:r>
        <w:t>Bear case</w:t>
      </w:r>
    </w:p>
    <w:p>
      <w:pPr>
        <w:pStyle w:val="ExecutiveBullet"/>
      </w:pPr>
      <w:r>
        <w:rPr>
          <w:b/>
        </w:rPr>
        <w:t xml:space="preserve">• </w:t>
      </w:r>
      <w:r>
        <w:t>Capacity delivery is delayed by power, construction or equipment issues.</w:t>
      </w:r>
    </w:p>
    <w:p>
      <w:pPr>
        <w:pStyle w:val="ExecutiveBullet"/>
      </w:pPr>
      <w:r>
        <w:rPr>
          <w:b/>
        </w:rPr>
        <w:t xml:space="preserve">• </w:t>
      </w:r>
      <w:r>
        <w:t>Revenue recognition slips while spending continues.</w:t>
      </w:r>
    </w:p>
    <w:p>
      <w:pPr>
        <w:pStyle w:val="ExecutiveBullet"/>
      </w:pPr>
      <w:r>
        <w:rPr>
          <w:b/>
        </w:rPr>
        <w:t xml:space="preserve">• </w:t>
      </w:r>
      <w:r>
        <w:t>OCI gross margin remains below 30%.</w:t>
      </w:r>
    </w:p>
    <w:p>
      <w:pPr>
        <w:pStyle w:val="ExecutiveBullet"/>
      </w:pPr>
      <w:r>
        <w:rPr>
          <w:b/>
        </w:rPr>
        <w:t xml:space="preserve">• </w:t>
      </w:r>
      <w:r>
        <w:t>Applications slow to high-single-digit growth.</w:t>
      </w:r>
    </w:p>
    <w:p>
      <w:pPr>
        <w:pStyle w:val="ExecutiveBullet"/>
      </w:pPr>
      <w:r>
        <w:rPr>
          <w:b/>
        </w:rPr>
        <w:t xml:space="preserve">• </w:t>
      </w:r>
      <w:r>
        <w:t>Oracle raises more debt or issues ATM shares at a depressed price.</w:t>
      </w:r>
    </w:p>
    <w:p>
      <w:pPr>
        <w:pStyle w:val="ExecutiveBullet"/>
      </w:pPr>
      <w:r>
        <w:rPr>
          <w:b/>
        </w:rPr>
        <w:t xml:space="preserve">• </w:t>
      </w:r>
      <w:r>
        <w:t>Free cash flow remains significantly negative and credit metrics worsen.</w:t>
      </w:r>
    </w:p>
    <w:p>
      <w:pPr>
        <w:pStyle w:val="Heading2"/>
      </w:pPr>
      <w:r>
        <w:t>Base case</w:t>
      </w:r>
    </w:p>
    <w:p>
      <w:pPr>
        <w:pStyle w:val="ExecutiveBullet"/>
      </w:pPr>
      <w:r>
        <w:rPr>
          <w:b/>
        </w:rPr>
        <w:t xml:space="preserve">• </w:t>
      </w:r>
      <w:r>
        <w:t>FY27 Q1 guidance is achieved.</w:t>
      </w:r>
    </w:p>
    <w:p>
      <w:pPr>
        <w:pStyle w:val="ExecutiveBullet"/>
      </w:pPr>
      <w:r>
        <w:rPr>
          <w:b/>
        </w:rPr>
        <w:t xml:space="preserve">• </w:t>
      </w:r>
      <w:r>
        <w:t>Capacity is delivered broadly on schedule.</w:t>
      </w:r>
    </w:p>
    <w:p>
      <w:pPr>
        <w:pStyle w:val="ExecutiveBullet"/>
      </w:pPr>
      <w:r>
        <w:rPr>
          <w:b/>
        </w:rPr>
        <w:t xml:space="preserve">• </w:t>
      </w:r>
      <w:r>
        <w:t>OCI grows approximately 113% to 118% in FY27.</w:t>
      </w:r>
    </w:p>
    <w:p>
      <w:pPr>
        <w:pStyle w:val="ExecutiveBullet"/>
      </w:pPr>
      <w:r>
        <w:rPr>
          <w:b/>
        </w:rPr>
        <w:t xml:space="preserve">• </w:t>
      </w:r>
      <w:r>
        <w:t>New facilities experience normal initial ramp inefficiency.</w:t>
      </w:r>
    </w:p>
    <w:p>
      <w:pPr>
        <w:pStyle w:val="ExecutiveBullet"/>
      </w:pPr>
      <w:r>
        <w:rPr>
          <w:b/>
        </w:rPr>
        <w:t xml:space="preserve">• </w:t>
      </w:r>
      <w:r>
        <w:t>Mature OCI cohorts move toward low-to-mid-30% gross margins.</w:t>
      </w:r>
    </w:p>
    <w:p>
      <w:pPr>
        <w:pStyle w:val="ExecutiveBullet"/>
      </w:pPr>
      <w:r>
        <w:rPr>
          <w:b/>
        </w:rPr>
        <w:t xml:space="preserve">• </w:t>
      </w:r>
      <w:r>
        <w:t>Applications remain near low-double-digit growth.</w:t>
      </w:r>
    </w:p>
    <w:p>
      <w:pPr>
        <w:pStyle w:val="ExecutiveBullet"/>
      </w:pPr>
      <w:r>
        <w:rPr>
          <w:b/>
        </w:rPr>
        <w:t xml:space="preserve">• </w:t>
      </w:r>
      <w:r>
        <w:t>Leverage peaks before declining as FY28 revenue scales.</w:t>
      </w:r>
    </w:p>
    <w:p>
      <w:pPr>
        <w:pStyle w:val="Heading2"/>
      </w:pPr>
      <w:r>
        <w:t>Bull case</w:t>
      </w:r>
    </w:p>
    <w:p>
      <w:pPr>
        <w:pStyle w:val="ExecutiveBullet"/>
      </w:pPr>
      <w:r>
        <w:rPr>
          <w:b/>
        </w:rPr>
        <w:t xml:space="preserve">• </w:t>
      </w:r>
      <w:r>
        <w:t>Capacity is delivered ahead of schedule.</w:t>
      </w:r>
    </w:p>
    <w:p>
      <w:pPr>
        <w:pStyle w:val="ExecutiveBullet"/>
      </w:pPr>
      <w:r>
        <w:rPr>
          <w:b/>
        </w:rPr>
        <w:t xml:space="preserve">• </w:t>
      </w:r>
      <w:r>
        <w:t>Customer-supplied hardware and prepayments reduce Oracle’s funding burden.</w:t>
      </w:r>
    </w:p>
    <w:p>
      <w:pPr>
        <w:pStyle w:val="ExecutiveBullet"/>
      </w:pPr>
      <w:r>
        <w:rPr>
          <w:b/>
        </w:rPr>
        <w:t xml:space="preserve">• </w:t>
      </w:r>
      <w:r>
        <w:t>New capacity reaches high utilization quickly.</w:t>
      </w:r>
    </w:p>
    <w:p>
      <w:pPr>
        <w:pStyle w:val="ExecutiveBullet"/>
      </w:pPr>
      <w:r>
        <w:rPr>
          <w:b/>
        </w:rPr>
        <w:t xml:space="preserve">• </w:t>
      </w:r>
      <w:r>
        <w:t>OCI gross margin moves toward the high 30s.</w:t>
      </w:r>
    </w:p>
    <w:p>
      <w:pPr>
        <w:pStyle w:val="ExecutiveBullet"/>
      </w:pPr>
      <w:r>
        <w:rPr>
          <w:b/>
        </w:rPr>
        <w:t xml:space="preserve">• </w:t>
      </w:r>
      <w:r>
        <w:t>Applications reaccelerate to mid-teens growth.</w:t>
      </w:r>
    </w:p>
    <w:p>
      <w:pPr>
        <w:pStyle w:val="ExecutiveBullet"/>
      </w:pPr>
      <w:r>
        <w:rPr>
          <w:b/>
        </w:rPr>
        <w:t xml:space="preserve">• </w:t>
      </w:r>
      <w:r>
        <w:t>Oracle raises less debt and issues fewer shares than feared.</w:t>
      </w:r>
    </w:p>
    <w:p>
      <w:pPr>
        <w:pStyle w:val="ExecutiveBullet"/>
      </w:pPr>
      <w:r>
        <w:rPr>
          <w:b/>
        </w:rPr>
        <w:t xml:space="preserve">• </w:t>
      </w:r>
      <w:r>
        <w:t>Revenue beats guidance while net cash capex remains controlled.</w:t>
      </w:r>
    </w:p>
    <w:p>
      <w:pPr>
        <w:pStyle w:val="Heading1"/>
      </w:pPr>
      <w:r>
        <w:t>10. Recommended scenario assumptions</w:t>
      </w:r>
    </w:p>
    <w:p>
      <w:r>
        <w:t>The following are analytical assumptions for the first two forecast years.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cantSplit/>
        </w:trPr>
        <w:tc>
          <w:tcPr>
            <w:tcW w:type="dxa" w:w="3528"/>
            <w:vAlign w:val="center"/>
            <w:shd w:fill="17365D"/>
            <w:tcBorders>
              <w:top w:val="single" w:sz="4" w:color="D7DEE8"/>
              <w:left w:val="single" w:sz="4" w:color="D7DEE8"/>
              <w:bottom w:val="single" w:sz="4" w:color="D7DEE8"/>
              <w:right w:val="single" w:sz="4" w:color="D7DEE8"/>
            </w:tcBorders>
          </w:tcPr>
          <w:p>
            <w:r>
              <w:rPr>
                <w:b/>
                <w:color w:val="FFFFFF"/>
                <w:sz w:val="14"/>
              </w:rPr>
              <w:t>Driver</w:t>
            </w:r>
          </w:p>
        </w:tc>
        <w:tc>
          <w:tcPr>
            <w:tcW w:type="dxa" w:w="2088"/>
            <w:vAlign w:val="center"/>
            <w:shd w:fill="17365D"/>
            <w:tcBorders>
              <w:top w:val="single" w:sz="4" w:color="D7DEE8"/>
              <w:left w:val="single" w:sz="4" w:color="D7DEE8"/>
              <w:bottom w:val="single" w:sz="4" w:color="D7DEE8"/>
              <w:right w:val="single" w:sz="4" w:color="D7DEE8"/>
            </w:tcBorders>
          </w:tcPr>
          <w:p>
            <w:r>
              <w:rPr>
                <w:b/>
                <w:color w:val="FFFFFF"/>
                <w:sz w:val="14"/>
              </w:rPr>
              <w:t>Bear</w:t>
            </w:r>
          </w:p>
        </w:tc>
        <w:tc>
          <w:tcPr>
            <w:tcW w:type="dxa" w:w="2088"/>
            <w:vAlign w:val="center"/>
            <w:shd w:fill="17365D"/>
            <w:tcBorders>
              <w:top w:val="single" w:sz="4" w:color="D7DEE8"/>
              <w:left w:val="single" w:sz="4" w:color="D7DEE8"/>
              <w:bottom w:val="single" w:sz="4" w:color="D7DEE8"/>
              <w:right w:val="single" w:sz="4" w:color="D7DEE8"/>
            </w:tcBorders>
          </w:tcPr>
          <w:p>
            <w:r>
              <w:rPr>
                <w:b/>
                <w:color w:val="FFFFFF"/>
                <w:sz w:val="14"/>
              </w:rPr>
              <w:t>Base</w:t>
            </w:r>
          </w:p>
        </w:tc>
        <w:tc>
          <w:tcPr>
            <w:tcW w:type="dxa" w:w="2088"/>
            <w:vAlign w:val="center"/>
            <w:shd w:fill="17365D"/>
            <w:tcBorders>
              <w:top w:val="single" w:sz="4" w:color="D7DEE8"/>
              <w:left w:val="single" w:sz="4" w:color="D7DEE8"/>
              <w:bottom w:val="single" w:sz="4" w:color="D7DEE8"/>
              <w:right w:val="single" w:sz="4" w:color="D7DEE8"/>
            </w:tcBorders>
          </w:tcPr>
          <w:p>
            <w:r>
              <w:rPr>
                <w:b/>
                <w:color w:val="FFFFFF"/>
                <w:sz w:val="14"/>
              </w:rPr>
              <w:t>Bull</w:t>
            </w:r>
          </w:p>
        </w:tc>
      </w:tr>
      <w:tr>
        <w:trPr>
          <w:cantSplit/>
        </w:trPr>
        <w:tc>
          <w:tcPr>
            <w:tcW w:type="dxa" w:w="3528"/>
            <w:vAlign w:val="center"/>
            <w:tcBorders>
              <w:top w:val="single" w:sz="4" w:color="D7DEE8"/>
              <w:left w:val="single" w:sz="4" w:color="D7DEE8"/>
              <w:bottom w:val="single" w:sz="4" w:color="D7DEE8"/>
              <w:right w:val="single" w:sz="4" w:color="D7DEE8"/>
            </w:tcBorders>
          </w:tcPr>
          <w:p>
            <w:pPr>
              <w:spacing w:after="0"/>
            </w:pPr>
            <w:r>
              <w:rPr>
                <w:sz w:val="14"/>
              </w:rPr>
              <w:t>FY27 OCI growth</w:t>
            </w:r>
          </w:p>
        </w:tc>
        <w:tc>
          <w:tcPr>
            <w:tcW w:type="dxa" w:w="2088"/>
            <w:vAlign w:val="center"/>
            <w:tcBorders>
              <w:top w:val="single" w:sz="4" w:color="D7DEE8"/>
              <w:left w:val="single" w:sz="4" w:color="D7DEE8"/>
              <w:bottom w:val="single" w:sz="4" w:color="D7DEE8"/>
              <w:right w:val="single" w:sz="4" w:color="D7DEE8"/>
            </w:tcBorders>
          </w:tcPr>
          <w:p>
            <w:pPr>
              <w:spacing w:after="0"/>
            </w:pPr>
            <w:r>
              <w:rPr>
                <w:sz w:val="14"/>
              </w:rPr>
              <w:t>88% to 98%</w:t>
            </w:r>
          </w:p>
        </w:tc>
        <w:tc>
          <w:tcPr>
            <w:tcW w:type="dxa" w:w="2088"/>
            <w:vAlign w:val="center"/>
            <w:tcBorders>
              <w:top w:val="single" w:sz="4" w:color="D7DEE8"/>
              <w:left w:val="single" w:sz="4" w:color="D7DEE8"/>
              <w:bottom w:val="single" w:sz="4" w:color="D7DEE8"/>
              <w:right w:val="single" w:sz="4" w:color="D7DEE8"/>
            </w:tcBorders>
          </w:tcPr>
          <w:p>
            <w:pPr>
              <w:spacing w:after="0"/>
            </w:pPr>
            <w:r>
              <w:rPr>
                <w:sz w:val="14"/>
              </w:rPr>
              <w:t>112% to 118%</w:t>
            </w:r>
          </w:p>
        </w:tc>
        <w:tc>
          <w:tcPr>
            <w:tcW w:type="dxa" w:w="2088"/>
            <w:vAlign w:val="center"/>
            <w:tcBorders>
              <w:top w:val="single" w:sz="4" w:color="D7DEE8"/>
              <w:left w:val="single" w:sz="4" w:color="D7DEE8"/>
              <w:bottom w:val="single" w:sz="4" w:color="D7DEE8"/>
              <w:right w:val="single" w:sz="4" w:color="D7DEE8"/>
            </w:tcBorders>
          </w:tcPr>
          <w:p>
            <w:pPr>
              <w:spacing w:after="0"/>
            </w:pPr>
            <w:r>
              <w:rPr>
                <w:sz w:val="14"/>
              </w:rPr>
              <w:t>130% to 140%</w:t>
            </w:r>
          </w:p>
        </w:tc>
      </w:tr>
      <w:tr>
        <w:trPr>
          <w:cantSplit/>
        </w:trPr>
        <w:tc>
          <w:tcPr>
            <w:tcW w:type="dxa" w:w="3528"/>
            <w:vAlign w:val="center"/>
            <w:shd w:fill="EEF5FB"/>
            <w:tcBorders>
              <w:top w:val="single" w:sz="4" w:color="D7DEE8"/>
              <w:left w:val="single" w:sz="4" w:color="D7DEE8"/>
              <w:bottom w:val="single" w:sz="4" w:color="D7DEE8"/>
              <w:right w:val="single" w:sz="4" w:color="D7DEE8"/>
            </w:tcBorders>
          </w:tcPr>
          <w:p>
            <w:pPr>
              <w:spacing w:after="0"/>
            </w:pPr>
            <w:r>
              <w:rPr>
                <w:sz w:val="14"/>
              </w:rPr>
              <w:t>FY28 OCI growth</w:t>
            </w:r>
          </w:p>
        </w:tc>
        <w:tc>
          <w:tcPr>
            <w:tcW w:type="dxa" w:w="2088"/>
            <w:vAlign w:val="center"/>
            <w:shd w:fill="EEF5FB"/>
            <w:tcBorders>
              <w:top w:val="single" w:sz="4" w:color="D7DEE8"/>
              <w:left w:val="single" w:sz="4" w:color="D7DEE8"/>
              <w:bottom w:val="single" w:sz="4" w:color="D7DEE8"/>
              <w:right w:val="single" w:sz="4" w:color="D7DEE8"/>
            </w:tcBorders>
          </w:tcPr>
          <w:p>
            <w:pPr>
              <w:spacing w:after="0"/>
            </w:pPr>
            <w:r>
              <w:rPr>
                <w:sz w:val="14"/>
              </w:rPr>
              <w:t>50% to 65%</w:t>
            </w:r>
          </w:p>
        </w:tc>
        <w:tc>
          <w:tcPr>
            <w:tcW w:type="dxa" w:w="2088"/>
            <w:vAlign w:val="center"/>
            <w:shd w:fill="EEF5FB"/>
            <w:tcBorders>
              <w:top w:val="single" w:sz="4" w:color="D7DEE8"/>
              <w:left w:val="single" w:sz="4" w:color="D7DEE8"/>
              <w:bottom w:val="single" w:sz="4" w:color="D7DEE8"/>
              <w:right w:val="single" w:sz="4" w:color="D7DEE8"/>
            </w:tcBorders>
          </w:tcPr>
          <w:p>
            <w:pPr>
              <w:spacing w:after="0"/>
            </w:pPr>
            <w:r>
              <w:rPr>
                <w:sz w:val="14"/>
              </w:rPr>
              <w:t>85% to 100%</w:t>
            </w:r>
          </w:p>
        </w:tc>
        <w:tc>
          <w:tcPr>
            <w:tcW w:type="dxa" w:w="2088"/>
            <w:vAlign w:val="center"/>
            <w:shd w:fill="EEF5FB"/>
            <w:tcBorders>
              <w:top w:val="single" w:sz="4" w:color="D7DEE8"/>
              <w:left w:val="single" w:sz="4" w:color="D7DEE8"/>
              <w:bottom w:val="single" w:sz="4" w:color="D7DEE8"/>
              <w:right w:val="single" w:sz="4" w:color="D7DEE8"/>
            </w:tcBorders>
          </w:tcPr>
          <w:p>
            <w:pPr>
              <w:spacing w:after="0"/>
            </w:pPr>
            <w:r>
              <w:rPr>
                <w:sz w:val="14"/>
              </w:rPr>
              <w:t>95% to 115%</w:t>
            </w:r>
          </w:p>
        </w:tc>
      </w:tr>
      <w:tr>
        <w:trPr>
          <w:cantSplit/>
        </w:trPr>
        <w:tc>
          <w:tcPr>
            <w:tcW w:type="dxa" w:w="3528"/>
            <w:vAlign w:val="center"/>
            <w:tcBorders>
              <w:top w:val="single" w:sz="4" w:color="D7DEE8"/>
              <w:left w:val="single" w:sz="4" w:color="D7DEE8"/>
              <w:bottom w:val="single" w:sz="4" w:color="D7DEE8"/>
              <w:right w:val="single" w:sz="4" w:color="D7DEE8"/>
            </w:tcBorders>
          </w:tcPr>
          <w:p>
            <w:pPr>
              <w:spacing w:after="0"/>
            </w:pPr>
            <w:r>
              <w:rPr>
                <w:sz w:val="14"/>
              </w:rPr>
              <w:t>FY27 applications growth</w:t>
            </w:r>
          </w:p>
        </w:tc>
        <w:tc>
          <w:tcPr>
            <w:tcW w:type="dxa" w:w="2088"/>
            <w:vAlign w:val="center"/>
            <w:tcBorders>
              <w:top w:val="single" w:sz="4" w:color="D7DEE8"/>
              <w:left w:val="single" w:sz="4" w:color="D7DEE8"/>
              <w:bottom w:val="single" w:sz="4" w:color="D7DEE8"/>
              <w:right w:val="single" w:sz="4" w:color="D7DEE8"/>
            </w:tcBorders>
          </w:tcPr>
          <w:p>
            <w:pPr>
              <w:spacing w:after="0"/>
            </w:pPr>
            <w:r>
              <w:rPr>
                <w:sz w:val="14"/>
              </w:rPr>
              <w:t>7% to 9%</w:t>
            </w:r>
          </w:p>
        </w:tc>
        <w:tc>
          <w:tcPr>
            <w:tcW w:type="dxa" w:w="2088"/>
            <w:vAlign w:val="center"/>
            <w:tcBorders>
              <w:top w:val="single" w:sz="4" w:color="D7DEE8"/>
              <w:left w:val="single" w:sz="4" w:color="D7DEE8"/>
              <w:bottom w:val="single" w:sz="4" w:color="D7DEE8"/>
              <w:right w:val="single" w:sz="4" w:color="D7DEE8"/>
            </w:tcBorders>
          </w:tcPr>
          <w:p>
            <w:pPr>
              <w:spacing w:after="0"/>
            </w:pPr>
            <w:r>
              <w:rPr>
                <w:sz w:val="14"/>
              </w:rPr>
              <w:t>10% to 12%</w:t>
            </w:r>
          </w:p>
        </w:tc>
        <w:tc>
          <w:tcPr>
            <w:tcW w:type="dxa" w:w="2088"/>
            <w:vAlign w:val="center"/>
            <w:tcBorders>
              <w:top w:val="single" w:sz="4" w:color="D7DEE8"/>
              <w:left w:val="single" w:sz="4" w:color="D7DEE8"/>
              <w:bottom w:val="single" w:sz="4" w:color="D7DEE8"/>
              <w:right w:val="single" w:sz="4" w:color="D7DEE8"/>
            </w:tcBorders>
          </w:tcPr>
          <w:p>
            <w:pPr>
              <w:spacing w:after="0"/>
            </w:pPr>
            <w:r>
              <w:rPr>
                <w:sz w:val="14"/>
              </w:rPr>
              <w:t>14% to 16%</w:t>
            </w:r>
          </w:p>
        </w:tc>
      </w:tr>
      <w:tr>
        <w:trPr>
          <w:cantSplit/>
        </w:trPr>
        <w:tc>
          <w:tcPr>
            <w:tcW w:type="dxa" w:w="3528"/>
            <w:vAlign w:val="center"/>
            <w:shd w:fill="EEF5FB"/>
            <w:tcBorders>
              <w:top w:val="single" w:sz="4" w:color="D7DEE8"/>
              <w:left w:val="single" w:sz="4" w:color="D7DEE8"/>
              <w:bottom w:val="single" w:sz="4" w:color="D7DEE8"/>
              <w:right w:val="single" w:sz="4" w:color="D7DEE8"/>
            </w:tcBorders>
          </w:tcPr>
          <w:p>
            <w:pPr>
              <w:spacing w:after="0"/>
            </w:pPr>
            <w:r>
              <w:rPr>
                <w:sz w:val="14"/>
              </w:rPr>
              <w:t>FY28 applications growth</w:t>
            </w:r>
          </w:p>
        </w:tc>
        <w:tc>
          <w:tcPr>
            <w:tcW w:type="dxa" w:w="2088"/>
            <w:vAlign w:val="center"/>
            <w:shd w:fill="EEF5FB"/>
            <w:tcBorders>
              <w:top w:val="single" w:sz="4" w:color="D7DEE8"/>
              <w:left w:val="single" w:sz="4" w:color="D7DEE8"/>
              <w:bottom w:val="single" w:sz="4" w:color="D7DEE8"/>
              <w:right w:val="single" w:sz="4" w:color="D7DEE8"/>
            </w:tcBorders>
          </w:tcPr>
          <w:p>
            <w:pPr>
              <w:spacing w:after="0"/>
            </w:pPr>
            <w:r>
              <w:rPr>
                <w:sz w:val="14"/>
              </w:rPr>
              <w:t>6% to 8%</w:t>
            </w:r>
          </w:p>
        </w:tc>
        <w:tc>
          <w:tcPr>
            <w:tcW w:type="dxa" w:w="2088"/>
            <w:vAlign w:val="center"/>
            <w:shd w:fill="EEF5FB"/>
            <w:tcBorders>
              <w:top w:val="single" w:sz="4" w:color="D7DEE8"/>
              <w:left w:val="single" w:sz="4" w:color="D7DEE8"/>
              <w:bottom w:val="single" w:sz="4" w:color="D7DEE8"/>
              <w:right w:val="single" w:sz="4" w:color="D7DEE8"/>
            </w:tcBorders>
          </w:tcPr>
          <w:p>
            <w:pPr>
              <w:spacing w:after="0"/>
            </w:pPr>
            <w:r>
              <w:rPr>
                <w:sz w:val="14"/>
              </w:rPr>
              <w:t>10% to 12%</w:t>
            </w:r>
          </w:p>
        </w:tc>
        <w:tc>
          <w:tcPr>
            <w:tcW w:type="dxa" w:w="2088"/>
            <w:vAlign w:val="center"/>
            <w:shd w:fill="EEF5FB"/>
            <w:tcBorders>
              <w:top w:val="single" w:sz="4" w:color="D7DEE8"/>
              <w:left w:val="single" w:sz="4" w:color="D7DEE8"/>
              <w:bottom w:val="single" w:sz="4" w:color="D7DEE8"/>
              <w:right w:val="single" w:sz="4" w:color="D7DEE8"/>
            </w:tcBorders>
          </w:tcPr>
          <w:p>
            <w:pPr>
              <w:spacing w:after="0"/>
            </w:pPr>
            <w:r>
              <w:rPr>
                <w:sz w:val="14"/>
              </w:rPr>
              <w:t>13% to 15%</w:t>
            </w:r>
          </w:p>
        </w:tc>
      </w:tr>
      <w:tr>
        <w:trPr>
          <w:cantSplit/>
        </w:trPr>
        <w:tc>
          <w:tcPr>
            <w:tcW w:type="dxa" w:w="3528"/>
            <w:vAlign w:val="center"/>
            <w:tcBorders>
              <w:top w:val="single" w:sz="4" w:color="D7DEE8"/>
              <w:left w:val="single" w:sz="4" w:color="D7DEE8"/>
              <w:bottom w:val="single" w:sz="4" w:color="D7DEE8"/>
              <w:right w:val="single" w:sz="4" w:color="D7DEE8"/>
            </w:tcBorders>
          </w:tcPr>
          <w:p>
            <w:pPr>
              <w:spacing w:after="0"/>
            </w:pPr>
            <w:r>
              <w:rPr>
                <w:sz w:val="14"/>
              </w:rPr>
              <w:t>FY27 total revenue</w:t>
            </w:r>
          </w:p>
        </w:tc>
        <w:tc>
          <w:tcPr>
            <w:tcW w:type="dxa" w:w="2088"/>
            <w:vAlign w:val="center"/>
            <w:tcBorders>
              <w:top w:val="single" w:sz="4" w:color="D7DEE8"/>
              <w:left w:val="single" w:sz="4" w:color="D7DEE8"/>
              <w:bottom w:val="single" w:sz="4" w:color="D7DEE8"/>
              <w:right w:val="single" w:sz="4" w:color="D7DEE8"/>
            </w:tcBorders>
          </w:tcPr>
          <w:p>
            <w:pPr>
              <w:spacing w:after="0"/>
            </w:pPr>
            <w:r>
              <w:rPr>
                <w:sz w:val="14"/>
              </w:rPr>
              <w:t>$84B to $86B</w:t>
            </w:r>
          </w:p>
        </w:tc>
        <w:tc>
          <w:tcPr>
            <w:tcW w:type="dxa" w:w="2088"/>
            <w:vAlign w:val="center"/>
            <w:tcBorders>
              <w:top w:val="single" w:sz="4" w:color="D7DEE8"/>
              <w:left w:val="single" w:sz="4" w:color="D7DEE8"/>
              <w:bottom w:val="single" w:sz="4" w:color="D7DEE8"/>
              <w:right w:val="single" w:sz="4" w:color="D7DEE8"/>
            </w:tcBorders>
          </w:tcPr>
          <w:p>
            <w:pPr>
              <w:spacing w:after="0"/>
            </w:pPr>
            <w:r>
              <w:rPr>
                <w:sz w:val="14"/>
              </w:rPr>
              <w:t>$89.5B to $90.5B</w:t>
            </w:r>
          </w:p>
        </w:tc>
        <w:tc>
          <w:tcPr>
            <w:tcW w:type="dxa" w:w="2088"/>
            <w:vAlign w:val="center"/>
            <w:tcBorders>
              <w:top w:val="single" w:sz="4" w:color="D7DEE8"/>
              <w:left w:val="single" w:sz="4" w:color="D7DEE8"/>
              <w:bottom w:val="single" w:sz="4" w:color="D7DEE8"/>
              <w:right w:val="single" w:sz="4" w:color="D7DEE8"/>
            </w:tcBorders>
          </w:tcPr>
          <w:p>
            <w:pPr>
              <w:spacing w:after="0"/>
            </w:pPr>
            <w:r>
              <w:rPr>
                <w:sz w:val="14"/>
              </w:rPr>
              <w:t>$94B to $97B</w:t>
            </w:r>
          </w:p>
        </w:tc>
      </w:tr>
      <w:tr>
        <w:trPr>
          <w:cantSplit/>
        </w:trPr>
        <w:tc>
          <w:tcPr>
            <w:tcW w:type="dxa" w:w="3528"/>
            <w:vAlign w:val="center"/>
            <w:shd w:fill="EEF5FB"/>
            <w:tcBorders>
              <w:top w:val="single" w:sz="4" w:color="D7DEE8"/>
              <w:left w:val="single" w:sz="4" w:color="D7DEE8"/>
              <w:bottom w:val="single" w:sz="4" w:color="D7DEE8"/>
              <w:right w:val="single" w:sz="4" w:color="D7DEE8"/>
            </w:tcBorders>
          </w:tcPr>
          <w:p>
            <w:pPr>
              <w:spacing w:after="0"/>
            </w:pPr>
            <w:r>
              <w:rPr>
                <w:sz w:val="14"/>
              </w:rPr>
              <w:t>FY28 total revenue</w:t>
            </w:r>
          </w:p>
        </w:tc>
        <w:tc>
          <w:tcPr>
            <w:tcW w:type="dxa" w:w="2088"/>
            <w:vAlign w:val="center"/>
            <w:shd w:fill="EEF5FB"/>
            <w:tcBorders>
              <w:top w:val="single" w:sz="4" w:color="D7DEE8"/>
              <w:left w:val="single" w:sz="4" w:color="D7DEE8"/>
              <w:bottom w:val="single" w:sz="4" w:color="D7DEE8"/>
              <w:right w:val="single" w:sz="4" w:color="D7DEE8"/>
            </w:tcBorders>
          </w:tcPr>
          <w:p>
            <w:pPr>
              <w:spacing w:after="0"/>
            </w:pPr>
            <w:r>
              <w:rPr>
                <w:sz w:val="14"/>
              </w:rPr>
              <w:t>$108B to $116B</w:t>
            </w:r>
          </w:p>
        </w:tc>
        <w:tc>
          <w:tcPr>
            <w:tcW w:type="dxa" w:w="2088"/>
            <w:vAlign w:val="center"/>
            <w:shd w:fill="EEF5FB"/>
            <w:tcBorders>
              <w:top w:val="single" w:sz="4" w:color="D7DEE8"/>
              <w:left w:val="single" w:sz="4" w:color="D7DEE8"/>
              <w:bottom w:val="single" w:sz="4" w:color="D7DEE8"/>
              <w:right w:val="single" w:sz="4" w:color="D7DEE8"/>
            </w:tcBorders>
          </w:tcPr>
          <w:p>
            <w:pPr>
              <w:spacing w:after="0"/>
            </w:pPr>
            <w:r>
              <w:rPr>
                <w:sz w:val="14"/>
              </w:rPr>
              <w:t>$127B to $132B</w:t>
            </w:r>
          </w:p>
        </w:tc>
        <w:tc>
          <w:tcPr>
            <w:tcW w:type="dxa" w:w="2088"/>
            <w:vAlign w:val="center"/>
            <w:shd w:fill="EEF5FB"/>
            <w:tcBorders>
              <w:top w:val="single" w:sz="4" w:color="D7DEE8"/>
              <w:left w:val="single" w:sz="4" w:color="D7DEE8"/>
              <w:bottom w:val="single" w:sz="4" w:color="D7DEE8"/>
              <w:right w:val="single" w:sz="4" w:color="D7DEE8"/>
            </w:tcBorders>
          </w:tcPr>
          <w:p>
            <w:pPr>
              <w:spacing w:after="0"/>
            </w:pPr>
            <w:r>
              <w:rPr>
                <w:sz w:val="14"/>
              </w:rPr>
              <w:t>$140B to $150B</w:t>
            </w:r>
          </w:p>
        </w:tc>
      </w:tr>
      <w:tr>
        <w:trPr>
          <w:cantSplit/>
        </w:trPr>
        <w:tc>
          <w:tcPr>
            <w:tcW w:type="dxa" w:w="3528"/>
            <w:vAlign w:val="center"/>
            <w:tcBorders>
              <w:top w:val="single" w:sz="4" w:color="D7DEE8"/>
              <w:left w:val="single" w:sz="4" w:color="D7DEE8"/>
              <w:bottom w:val="single" w:sz="4" w:color="D7DEE8"/>
              <w:right w:val="single" w:sz="4" w:color="D7DEE8"/>
            </w:tcBorders>
          </w:tcPr>
          <w:p>
            <w:pPr>
              <w:spacing w:after="0"/>
            </w:pPr>
            <w:r>
              <w:rPr>
                <w:sz w:val="14"/>
              </w:rPr>
              <w:t>FY27 GAAP gross margin</w:t>
            </w:r>
          </w:p>
        </w:tc>
        <w:tc>
          <w:tcPr>
            <w:tcW w:type="dxa" w:w="2088"/>
            <w:vAlign w:val="center"/>
            <w:tcBorders>
              <w:top w:val="single" w:sz="4" w:color="D7DEE8"/>
              <w:left w:val="single" w:sz="4" w:color="D7DEE8"/>
              <w:bottom w:val="single" w:sz="4" w:color="D7DEE8"/>
              <w:right w:val="single" w:sz="4" w:color="D7DEE8"/>
            </w:tcBorders>
          </w:tcPr>
          <w:p>
            <w:pPr>
              <w:spacing w:after="0"/>
            </w:pPr>
            <w:r>
              <w:rPr>
                <w:sz w:val="14"/>
              </w:rPr>
              <w:t>53% to 56%</w:t>
            </w:r>
          </w:p>
        </w:tc>
        <w:tc>
          <w:tcPr>
            <w:tcW w:type="dxa" w:w="2088"/>
            <w:vAlign w:val="center"/>
            <w:tcBorders>
              <w:top w:val="single" w:sz="4" w:color="D7DEE8"/>
              <w:left w:val="single" w:sz="4" w:color="D7DEE8"/>
              <w:bottom w:val="single" w:sz="4" w:color="D7DEE8"/>
              <w:right w:val="single" w:sz="4" w:color="D7DEE8"/>
            </w:tcBorders>
          </w:tcPr>
          <w:p>
            <w:pPr>
              <w:spacing w:after="0"/>
            </w:pPr>
            <w:r>
              <w:rPr>
                <w:sz w:val="14"/>
              </w:rPr>
              <w:t>55% to 58%</w:t>
            </w:r>
          </w:p>
        </w:tc>
        <w:tc>
          <w:tcPr>
            <w:tcW w:type="dxa" w:w="2088"/>
            <w:vAlign w:val="center"/>
            <w:tcBorders>
              <w:top w:val="single" w:sz="4" w:color="D7DEE8"/>
              <w:left w:val="single" w:sz="4" w:color="D7DEE8"/>
              <w:bottom w:val="single" w:sz="4" w:color="D7DEE8"/>
              <w:right w:val="single" w:sz="4" w:color="D7DEE8"/>
            </w:tcBorders>
          </w:tcPr>
          <w:p>
            <w:pPr>
              <w:spacing w:after="0"/>
            </w:pPr>
            <w:r>
              <w:rPr>
                <w:sz w:val="14"/>
              </w:rPr>
              <w:t>58% to 60%</w:t>
            </w:r>
          </w:p>
        </w:tc>
      </w:tr>
      <w:tr>
        <w:trPr>
          <w:cantSplit/>
        </w:trPr>
        <w:tc>
          <w:tcPr>
            <w:tcW w:type="dxa" w:w="3528"/>
            <w:vAlign w:val="center"/>
            <w:shd w:fill="EEF5FB"/>
            <w:tcBorders>
              <w:top w:val="single" w:sz="4" w:color="D7DEE8"/>
              <w:left w:val="single" w:sz="4" w:color="D7DEE8"/>
              <w:bottom w:val="single" w:sz="4" w:color="D7DEE8"/>
              <w:right w:val="single" w:sz="4" w:color="D7DEE8"/>
            </w:tcBorders>
          </w:tcPr>
          <w:p>
            <w:pPr>
              <w:spacing w:after="0"/>
            </w:pPr>
            <w:r>
              <w:rPr>
                <w:sz w:val="14"/>
              </w:rPr>
              <w:t>FY28 GAAP gross margin</w:t>
            </w:r>
          </w:p>
        </w:tc>
        <w:tc>
          <w:tcPr>
            <w:tcW w:type="dxa" w:w="2088"/>
            <w:vAlign w:val="center"/>
            <w:shd w:fill="EEF5FB"/>
            <w:tcBorders>
              <w:top w:val="single" w:sz="4" w:color="D7DEE8"/>
              <w:left w:val="single" w:sz="4" w:color="D7DEE8"/>
              <w:bottom w:val="single" w:sz="4" w:color="D7DEE8"/>
              <w:right w:val="single" w:sz="4" w:color="D7DEE8"/>
            </w:tcBorders>
          </w:tcPr>
          <w:p>
            <w:pPr>
              <w:spacing w:after="0"/>
            </w:pPr>
            <w:r>
              <w:rPr>
                <w:sz w:val="14"/>
              </w:rPr>
              <w:t>50% to 54%</w:t>
            </w:r>
          </w:p>
        </w:tc>
        <w:tc>
          <w:tcPr>
            <w:tcW w:type="dxa" w:w="2088"/>
            <w:vAlign w:val="center"/>
            <w:shd w:fill="EEF5FB"/>
            <w:tcBorders>
              <w:top w:val="single" w:sz="4" w:color="D7DEE8"/>
              <w:left w:val="single" w:sz="4" w:color="D7DEE8"/>
              <w:bottom w:val="single" w:sz="4" w:color="D7DEE8"/>
              <w:right w:val="single" w:sz="4" w:color="D7DEE8"/>
            </w:tcBorders>
          </w:tcPr>
          <w:p>
            <w:pPr>
              <w:spacing w:after="0"/>
            </w:pPr>
            <w:r>
              <w:rPr>
                <w:sz w:val="14"/>
              </w:rPr>
              <w:t>52% to 57%</w:t>
            </w:r>
          </w:p>
        </w:tc>
        <w:tc>
          <w:tcPr>
            <w:tcW w:type="dxa" w:w="2088"/>
            <w:vAlign w:val="center"/>
            <w:shd w:fill="EEF5FB"/>
            <w:tcBorders>
              <w:top w:val="single" w:sz="4" w:color="D7DEE8"/>
              <w:left w:val="single" w:sz="4" w:color="D7DEE8"/>
              <w:bottom w:val="single" w:sz="4" w:color="D7DEE8"/>
              <w:right w:val="single" w:sz="4" w:color="D7DEE8"/>
            </w:tcBorders>
          </w:tcPr>
          <w:p>
            <w:pPr>
              <w:spacing w:after="0"/>
            </w:pPr>
            <w:r>
              <w:rPr>
                <w:sz w:val="14"/>
              </w:rPr>
              <w:t>57% to 61%</w:t>
            </w:r>
          </w:p>
        </w:tc>
      </w:tr>
      <w:tr>
        <w:trPr>
          <w:cantSplit/>
        </w:trPr>
        <w:tc>
          <w:tcPr>
            <w:tcW w:type="dxa" w:w="3528"/>
            <w:vAlign w:val="center"/>
            <w:tcBorders>
              <w:top w:val="single" w:sz="4" w:color="D7DEE8"/>
              <w:left w:val="single" w:sz="4" w:color="D7DEE8"/>
              <w:bottom w:val="single" w:sz="4" w:color="D7DEE8"/>
              <w:right w:val="single" w:sz="4" w:color="D7DEE8"/>
            </w:tcBorders>
          </w:tcPr>
          <w:p>
            <w:pPr>
              <w:spacing w:after="0"/>
            </w:pPr>
            <w:r>
              <w:rPr>
                <w:sz w:val="14"/>
              </w:rPr>
              <w:t>FY27 non-GAAP op. margin</w:t>
            </w:r>
          </w:p>
        </w:tc>
        <w:tc>
          <w:tcPr>
            <w:tcW w:type="dxa" w:w="2088"/>
            <w:vAlign w:val="center"/>
            <w:tcBorders>
              <w:top w:val="single" w:sz="4" w:color="D7DEE8"/>
              <w:left w:val="single" w:sz="4" w:color="D7DEE8"/>
              <w:bottom w:val="single" w:sz="4" w:color="D7DEE8"/>
              <w:right w:val="single" w:sz="4" w:color="D7DEE8"/>
            </w:tcBorders>
          </w:tcPr>
          <w:p>
            <w:pPr>
              <w:spacing w:after="0"/>
            </w:pPr>
            <w:r>
              <w:rPr>
                <w:sz w:val="14"/>
              </w:rPr>
              <w:t>36% to 38.5%</w:t>
            </w:r>
          </w:p>
        </w:tc>
        <w:tc>
          <w:tcPr>
            <w:tcW w:type="dxa" w:w="2088"/>
            <w:vAlign w:val="center"/>
            <w:tcBorders>
              <w:top w:val="single" w:sz="4" w:color="D7DEE8"/>
              <w:left w:val="single" w:sz="4" w:color="D7DEE8"/>
              <w:bottom w:val="single" w:sz="4" w:color="D7DEE8"/>
              <w:right w:val="single" w:sz="4" w:color="D7DEE8"/>
            </w:tcBorders>
          </w:tcPr>
          <w:p>
            <w:pPr>
              <w:spacing w:after="0"/>
            </w:pPr>
            <w:r>
              <w:rPr>
                <w:sz w:val="14"/>
              </w:rPr>
              <w:t>39.5% to 41.5%</w:t>
            </w:r>
          </w:p>
        </w:tc>
        <w:tc>
          <w:tcPr>
            <w:tcW w:type="dxa" w:w="2088"/>
            <w:vAlign w:val="center"/>
            <w:tcBorders>
              <w:top w:val="single" w:sz="4" w:color="D7DEE8"/>
              <w:left w:val="single" w:sz="4" w:color="D7DEE8"/>
              <w:bottom w:val="single" w:sz="4" w:color="D7DEE8"/>
              <w:right w:val="single" w:sz="4" w:color="D7DEE8"/>
            </w:tcBorders>
          </w:tcPr>
          <w:p>
            <w:pPr>
              <w:spacing w:after="0"/>
            </w:pPr>
            <w:r>
              <w:rPr>
                <w:sz w:val="14"/>
              </w:rPr>
              <w:t>42% to 44%</w:t>
            </w:r>
          </w:p>
        </w:tc>
      </w:tr>
      <w:tr>
        <w:trPr>
          <w:cantSplit/>
        </w:trPr>
        <w:tc>
          <w:tcPr>
            <w:tcW w:type="dxa" w:w="3528"/>
            <w:vAlign w:val="center"/>
            <w:shd w:fill="EEF5FB"/>
            <w:tcBorders>
              <w:top w:val="single" w:sz="4" w:color="D7DEE8"/>
              <w:left w:val="single" w:sz="4" w:color="D7DEE8"/>
              <w:bottom w:val="single" w:sz="4" w:color="D7DEE8"/>
              <w:right w:val="single" w:sz="4" w:color="D7DEE8"/>
            </w:tcBorders>
          </w:tcPr>
          <w:p>
            <w:pPr>
              <w:spacing w:after="0"/>
            </w:pPr>
            <w:r>
              <w:rPr>
                <w:sz w:val="14"/>
              </w:rPr>
              <w:t>FY28 non-GAAP op. margin</w:t>
            </w:r>
          </w:p>
        </w:tc>
        <w:tc>
          <w:tcPr>
            <w:tcW w:type="dxa" w:w="2088"/>
            <w:vAlign w:val="center"/>
            <w:shd w:fill="EEF5FB"/>
            <w:tcBorders>
              <w:top w:val="single" w:sz="4" w:color="D7DEE8"/>
              <w:left w:val="single" w:sz="4" w:color="D7DEE8"/>
              <w:bottom w:val="single" w:sz="4" w:color="D7DEE8"/>
              <w:right w:val="single" w:sz="4" w:color="D7DEE8"/>
            </w:tcBorders>
          </w:tcPr>
          <w:p>
            <w:pPr>
              <w:spacing w:after="0"/>
            </w:pPr>
            <w:r>
              <w:rPr>
                <w:sz w:val="14"/>
              </w:rPr>
              <w:t>34% to 38%</w:t>
            </w:r>
          </w:p>
        </w:tc>
        <w:tc>
          <w:tcPr>
            <w:tcW w:type="dxa" w:w="2088"/>
            <w:vAlign w:val="center"/>
            <w:shd w:fill="EEF5FB"/>
            <w:tcBorders>
              <w:top w:val="single" w:sz="4" w:color="D7DEE8"/>
              <w:left w:val="single" w:sz="4" w:color="D7DEE8"/>
              <w:bottom w:val="single" w:sz="4" w:color="D7DEE8"/>
              <w:right w:val="single" w:sz="4" w:color="D7DEE8"/>
            </w:tcBorders>
          </w:tcPr>
          <w:p>
            <w:pPr>
              <w:spacing w:after="0"/>
            </w:pPr>
            <w:r>
              <w:rPr>
                <w:sz w:val="14"/>
              </w:rPr>
              <w:t>38.5% to 41.5%</w:t>
            </w:r>
          </w:p>
        </w:tc>
        <w:tc>
          <w:tcPr>
            <w:tcW w:type="dxa" w:w="2088"/>
            <w:vAlign w:val="center"/>
            <w:shd w:fill="EEF5FB"/>
            <w:tcBorders>
              <w:top w:val="single" w:sz="4" w:color="D7DEE8"/>
              <w:left w:val="single" w:sz="4" w:color="D7DEE8"/>
              <w:bottom w:val="single" w:sz="4" w:color="D7DEE8"/>
              <w:right w:val="single" w:sz="4" w:color="D7DEE8"/>
            </w:tcBorders>
          </w:tcPr>
          <w:p>
            <w:pPr>
              <w:spacing w:after="0"/>
            </w:pPr>
            <w:r>
              <w:rPr>
                <w:sz w:val="14"/>
              </w:rPr>
              <w:t>42% to 45%</w:t>
            </w:r>
          </w:p>
        </w:tc>
      </w:tr>
      <w:tr>
        <w:trPr>
          <w:cantSplit/>
        </w:trPr>
        <w:tc>
          <w:tcPr>
            <w:tcW w:type="dxa" w:w="3528"/>
            <w:vAlign w:val="center"/>
            <w:tcBorders>
              <w:top w:val="single" w:sz="4" w:color="D7DEE8"/>
              <w:left w:val="single" w:sz="4" w:color="D7DEE8"/>
              <w:bottom w:val="single" w:sz="4" w:color="D7DEE8"/>
              <w:right w:val="single" w:sz="4" w:color="D7DEE8"/>
            </w:tcBorders>
          </w:tcPr>
          <w:p>
            <w:pPr>
              <w:spacing w:after="0"/>
            </w:pPr>
            <w:r>
              <w:rPr>
                <w:sz w:val="14"/>
              </w:rPr>
              <w:t>FY27 gross reported capex</w:t>
            </w:r>
          </w:p>
        </w:tc>
        <w:tc>
          <w:tcPr>
            <w:tcW w:type="dxa" w:w="2088"/>
            <w:vAlign w:val="center"/>
            <w:tcBorders>
              <w:top w:val="single" w:sz="4" w:color="D7DEE8"/>
              <w:left w:val="single" w:sz="4" w:color="D7DEE8"/>
              <w:bottom w:val="single" w:sz="4" w:color="D7DEE8"/>
              <w:right w:val="single" w:sz="4" w:color="D7DEE8"/>
            </w:tcBorders>
          </w:tcPr>
          <w:p>
            <w:pPr>
              <w:spacing w:after="0"/>
            </w:pPr>
            <w:r>
              <w:rPr>
                <w:sz w:val="14"/>
              </w:rPr>
              <w:t>$92B to $100B</w:t>
            </w:r>
          </w:p>
        </w:tc>
        <w:tc>
          <w:tcPr>
            <w:tcW w:type="dxa" w:w="2088"/>
            <w:vAlign w:val="center"/>
            <w:tcBorders>
              <w:top w:val="single" w:sz="4" w:color="D7DEE8"/>
              <w:left w:val="single" w:sz="4" w:color="D7DEE8"/>
              <w:bottom w:val="single" w:sz="4" w:color="D7DEE8"/>
              <w:right w:val="single" w:sz="4" w:color="D7DEE8"/>
            </w:tcBorders>
          </w:tcPr>
          <w:p>
            <w:pPr>
              <w:spacing w:after="0"/>
            </w:pPr>
            <w:r>
              <w:rPr>
                <w:sz w:val="14"/>
              </w:rPr>
              <w:t>$90B to $95B</w:t>
            </w:r>
          </w:p>
        </w:tc>
        <w:tc>
          <w:tcPr>
            <w:tcW w:type="dxa" w:w="2088"/>
            <w:vAlign w:val="center"/>
            <w:tcBorders>
              <w:top w:val="single" w:sz="4" w:color="D7DEE8"/>
              <w:left w:val="single" w:sz="4" w:color="D7DEE8"/>
              <w:bottom w:val="single" w:sz="4" w:color="D7DEE8"/>
              <w:right w:val="single" w:sz="4" w:color="D7DEE8"/>
            </w:tcBorders>
          </w:tcPr>
          <w:p>
            <w:pPr>
              <w:spacing w:after="0"/>
            </w:pPr>
            <w:r>
              <w:rPr>
                <w:sz w:val="14"/>
              </w:rPr>
              <w:t>$95B to $105B</w:t>
            </w:r>
          </w:p>
        </w:tc>
      </w:tr>
      <w:tr>
        <w:trPr>
          <w:cantSplit/>
        </w:trPr>
        <w:tc>
          <w:tcPr>
            <w:tcW w:type="dxa" w:w="3528"/>
            <w:vAlign w:val="center"/>
            <w:shd w:fill="EEF5FB"/>
            <w:tcBorders>
              <w:top w:val="single" w:sz="4" w:color="D7DEE8"/>
              <w:left w:val="single" w:sz="4" w:color="D7DEE8"/>
              <w:bottom w:val="single" w:sz="4" w:color="D7DEE8"/>
              <w:right w:val="single" w:sz="4" w:color="D7DEE8"/>
            </w:tcBorders>
          </w:tcPr>
          <w:p>
            <w:pPr>
              <w:spacing w:after="0"/>
            </w:pPr>
            <w:r>
              <w:rPr>
                <w:sz w:val="14"/>
              </w:rPr>
              <w:t>FY27 net cash capex</w:t>
            </w:r>
          </w:p>
        </w:tc>
        <w:tc>
          <w:tcPr>
            <w:tcW w:type="dxa" w:w="2088"/>
            <w:vAlign w:val="center"/>
            <w:shd w:fill="EEF5FB"/>
            <w:tcBorders>
              <w:top w:val="single" w:sz="4" w:color="D7DEE8"/>
              <w:left w:val="single" w:sz="4" w:color="D7DEE8"/>
              <w:bottom w:val="single" w:sz="4" w:color="D7DEE8"/>
              <w:right w:val="single" w:sz="4" w:color="D7DEE8"/>
            </w:tcBorders>
          </w:tcPr>
          <w:p>
            <w:pPr>
              <w:spacing w:after="0"/>
            </w:pPr>
            <w:r>
              <w:rPr>
                <w:sz w:val="14"/>
              </w:rPr>
              <w:t>$75B to $82B</w:t>
            </w:r>
          </w:p>
        </w:tc>
        <w:tc>
          <w:tcPr>
            <w:tcW w:type="dxa" w:w="2088"/>
            <w:vAlign w:val="center"/>
            <w:shd w:fill="EEF5FB"/>
            <w:tcBorders>
              <w:top w:val="single" w:sz="4" w:color="D7DEE8"/>
              <w:left w:val="single" w:sz="4" w:color="D7DEE8"/>
              <w:bottom w:val="single" w:sz="4" w:color="D7DEE8"/>
              <w:right w:val="single" w:sz="4" w:color="D7DEE8"/>
            </w:tcBorders>
          </w:tcPr>
          <w:p>
            <w:pPr>
              <w:spacing w:after="0"/>
            </w:pPr>
            <w:r>
              <w:rPr>
                <w:sz w:val="14"/>
              </w:rPr>
              <w:t>$68B to $72B</w:t>
            </w:r>
          </w:p>
        </w:tc>
        <w:tc>
          <w:tcPr>
            <w:tcW w:type="dxa" w:w="2088"/>
            <w:vAlign w:val="center"/>
            <w:shd w:fill="EEF5FB"/>
            <w:tcBorders>
              <w:top w:val="single" w:sz="4" w:color="D7DEE8"/>
              <w:left w:val="single" w:sz="4" w:color="D7DEE8"/>
              <w:bottom w:val="single" w:sz="4" w:color="D7DEE8"/>
              <w:right w:val="single" w:sz="4" w:color="D7DEE8"/>
            </w:tcBorders>
          </w:tcPr>
          <w:p>
            <w:pPr>
              <w:spacing w:after="0"/>
            </w:pPr>
            <w:r>
              <w:rPr>
                <w:sz w:val="14"/>
              </w:rPr>
              <w:t>$65B to $75B</w:t>
            </w:r>
          </w:p>
        </w:tc>
      </w:tr>
      <w:tr>
        <w:trPr>
          <w:cantSplit/>
        </w:trPr>
        <w:tc>
          <w:tcPr>
            <w:tcW w:type="dxa" w:w="3528"/>
            <w:vAlign w:val="center"/>
            <w:tcBorders>
              <w:top w:val="single" w:sz="4" w:color="D7DEE8"/>
              <w:left w:val="single" w:sz="4" w:color="D7DEE8"/>
              <w:bottom w:val="single" w:sz="4" w:color="D7DEE8"/>
              <w:right w:val="single" w:sz="4" w:color="D7DEE8"/>
            </w:tcBorders>
          </w:tcPr>
          <w:p>
            <w:pPr>
              <w:spacing w:after="0"/>
            </w:pPr>
            <w:r>
              <w:rPr>
                <w:sz w:val="14"/>
              </w:rPr>
              <w:t>FY28 gross capex</w:t>
            </w:r>
          </w:p>
        </w:tc>
        <w:tc>
          <w:tcPr>
            <w:tcW w:type="dxa" w:w="2088"/>
            <w:vAlign w:val="center"/>
            <w:tcBorders>
              <w:top w:val="single" w:sz="4" w:color="D7DEE8"/>
              <w:left w:val="single" w:sz="4" w:color="D7DEE8"/>
              <w:bottom w:val="single" w:sz="4" w:color="D7DEE8"/>
              <w:right w:val="single" w:sz="4" w:color="D7DEE8"/>
            </w:tcBorders>
          </w:tcPr>
          <w:p>
            <w:pPr>
              <w:spacing w:after="0"/>
            </w:pPr>
            <w:r>
              <w:rPr>
                <w:sz w:val="14"/>
              </w:rPr>
              <w:t>$85B to $105B</w:t>
            </w:r>
          </w:p>
        </w:tc>
        <w:tc>
          <w:tcPr>
            <w:tcW w:type="dxa" w:w="2088"/>
            <w:vAlign w:val="center"/>
            <w:tcBorders>
              <w:top w:val="single" w:sz="4" w:color="D7DEE8"/>
              <w:left w:val="single" w:sz="4" w:color="D7DEE8"/>
              <w:bottom w:val="single" w:sz="4" w:color="D7DEE8"/>
              <w:right w:val="single" w:sz="4" w:color="D7DEE8"/>
            </w:tcBorders>
          </w:tcPr>
          <w:p>
            <w:pPr>
              <w:spacing w:after="0"/>
            </w:pPr>
            <w:r>
              <w:rPr>
                <w:sz w:val="14"/>
              </w:rPr>
              <w:t>$100B to $115B</w:t>
            </w:r>
          </w:p>
        </w:tc>
        <w:tc>
          <w:tcPr>
            <w:tcW w:type="dxa" w:w="2088"/>
            <w:vAlign w:val="center"/>
            <w:tcBorders>
              <w:top w:val="single" w:sz="4" w:color="D7DEE8"/>
              <w:left w:val="single" w:sz="4" w:color="D7DEE8"/>
              <w:bottom w:val="single" w:sz="4" w:color="D7DEE8"/>
              <w:right w:val="single" w:sz="4" w:color="D7DEE8"/>
            </w:tcBorders>
          </w:tcPr>
          <w:p>
            <w:pPr>
              <w:spacing w:after="0"/>
            </w:pPr>
            <w:r>
              <w:rPr>
                <w:sz w:val="14"/>
              </w:rPr>
              <w:t>$115B to $135B</w:t>
            </w:r>
          </w:p>
        </w:tc>
      </w:tr>
      <w:tr>
        <w:trPr>
          <w:cantSplit/>
        </w:trPr>
        <w:tc>
          <w:tcPr>
            <w:tcW w:type="dxa" w:w="3528"/>
            <w:vAlign w:val="center"/>
            <w:shd w:fill="EEF5FB"/>
            <w:tcBorders>
              <w:top w:val="single" w:sz="4" w:color="D7DEE8"/>
              <w:left w:val="single" w:sz="4" w:color="D7DEE8"/>
              <w:bottom w:val="single" w:sz="4" w:color="D7DEE8"/>
              <w:right w:val="single" w:sz="4" w:color="D7DEE8"/>
            </w:tcBorders>
          </w:tcPr>
          <w:p>
            <w:pPr>
              <w:spacing w:after="0"/>
            </w:pPr>
            <w:r>
              <w:rPr>
                <w:sz w:val="14"/>
              </w:rPr>
              <w:t>FY27 depreciation</w:t>
            </w:r>
          </w:p>
        </w:tc>
        <w:tc>
          <w:tcPr>
            <w:tcW w:type="dxa" w:w="2088"/>
            <w:vAlign w:val="center"/>
            <w:shd w:fill="EEF5FB"/>
            <w:tcBorders>
              <w:top w:val="single" w:sz="4" w:color="D7DEE8"/>
              <w:left w:val="single" w:sz="4" w:color="D7DEE8"/>
              <w:bottom w:val="single" w:sz="4" w:color="D7DEE8"/>
              <w:right w:val="single" w:sz="4" w:color="D7DEE8"/>
            </w:tcBorders>
          </w:tcPr>
          <w:p>
            <w:pPr>
              <w:spacing w:after="0"/>
            </w:pPr>
            <w:r>
              <w:rPr>
                <w:sz w:val="14"/>
              </w:rPr>
              <w:t>$13B to $15B</w:t>
            </w:r>
          </w:p>
        </w:tc>
        <w:tc>
          <w:tcPr>
            <w:tcW w:type="dxa" w:w="2088"/>
            <w:vAlign w:val="center"/>
            <w:shd w:fill="EEF5FB"/>
            <w:tcBorders>
              <w:top w:val="single" w:sz="4" w:color="D7DEE8"/>
              <w:left w:val="single" w:sz="4" w:color="D7DEE8"/>
              <w:bottom w:val="single" w:sz="4" w:color="D7DEE8"/>
              <w:right w:val="single" w:sz="4" w:color="D7DEE8"/>
            </w:tcBorders>
          </w:tcPr>
          <w:p>
            <w:pPr>
              <w:spacing w:after="0"/>
            </w:pPr>
            <w:r>
              <w:rPr>
                <w:sz w:val="14"/>
              </w:rPr>
              <w:t>$15B to $17B</w:t>
            </w:r>
          </w:p>
        </w:tc>
        <w:tc>
          <w:tcPr>
            <w:tcW w:type="dxa" w:w="2088"/>
            <w:vAlign w:val="center"/>
            <w:shd w:fill="EEF5FB"/>
            <w:tcBorders>
              <w:top w:val="single" w:sz="4" w:color="D7DEE8"/>
              <w:left w:val="single" w:sz="4" w:color="D7DEE8"/>
              <w:bottom w:val="single" w:sz="4" w:color="D7DEE8"/>
              <w:right w:val="single" w:sz="4" w:color="D7DEE8"/>
            </w:tcBorders>
          </w:tcPr>
          <w:p>
            <w:pPr>
              <w:spacing w:after="0"/>
            </w:pPr>
            <w:r>
              <w:rPr>
                <w:sz w:val="14"/>
              </w:rPr>
              <w:t>$17B to $20B</w:t>
            </w:r>
          </w:p>
        </w:tc>
      </w:tr>
      <w:tr>
        <w:trPr>
          <w:cantSplit/>
        </w:trPr>
        <w:tc>
          <w:tcPr>
            <w:tcW w:type="dxa" w:w="3528"/>
            <w:vAlign w:val="center"/>
            <w:tcBorders>
              <w:top w:val="single" w:sz="4" w:color="D7DEE8"/>
              <w:left w:val="single" w:sz="4" w:color="D7DEE8"/>
              <w:bottom w:val="single" w:sz="4" w:color="D7DEE8"/>
              <w:right w:val="single" w:sz="4" w:color="D7DEE8"/>
            </w:tcBorders>
          </w:tcPr>
          <w:p>
            <w:pPr>
              <w:spacing w:after="0"/>
            </w:pPr>
            <w:r>
              <w:rPr>
                <w:sz w:val="14"/>
              </w:rPr>
              <w:t>FY28 depreciation</w:t>
            </w:r>
          </w:p>
        </w:tc>
        <w:tc>
          <w:tcPr>
            <w:tcW w:type="dxa" w:w="2088"/>
            <w:vAlign w:val="center"/>
            <w:tcBorders>
              <w:top w:val="single" w:sz="4" w:color="D7DEE8"/>
              <w:left w:val="single" w:sz="4" w:color="D7DEE8"/>
              <w:bottom w:val="single" w:sz="4" w:color="D7DEE8"/>
              <w:right w:val="single" w:sz="4" w:color="D7DEE8"/>
            </w:tcBorders>
          </w:tcPr>
          <w:p>
            <w:pPr>
              <w:spacing w:after="0"/>
            </w:pPr>
            <w:r>
              <w:rPr>
                <w:sz w:val="14"/>
              </w:rPr>
              <w:t>$23B to $29B</w:t>
            </w:r>
          </w:p>
        </w:tc>
        <w:tc>
          <w:tcPr>
            <w:tcW w:type="dxa" w:w="2088"/>
            <w:vAlign w:val="center"/>
            <w:tcBorders>
              <w:top w:val="single" w:sz="4" w:color="D7DEE8"/>
              <w:left w:val="single" w:sz="4" w:color="D7DEE8"/>
              <w:bottom w:val="single" w:sz="4" w:color="D7DEE8"/>
              <w:right w:val="single" w:sz="4" w:color="D7DEE8"/>
            </w:tcBorders>
          </w:tcPr>
          <w:p>
            <w:pPr>
              <w:spacing w:after="0"/>
            </w:pPr>
            <w:r>
              <w:rPr>
                <w:sz w:val="14"/>
              </w:rPr>
              <w:t>$28B to $34B</w:t>
            </w:r>
          </w:p>
        </w:tc>
        <w:tc>
          <w:tcPr>
            <w:tcW w:type="dxa" w:w="2088"/>
            <w:vAlign w:val="center"/>
            <w:tcBorders>
              <w:top w:val="single" w:sz="4" w:color="D7DEE8"/>
              <w:left w:val="single" w:sz="4" w:color="D7DEE8"/>
              <w:bottom w:val="single" w:sz="4" w:color="D7DEE8"/>
              <w:right w:val="single" w:sz="4" w:color="D7DEE8"/>
            </w:tcBorders>
          </w:tcPr>
          <w:p>
            <w:pPr>
              <w:spacing w:after="0"/>
            </w:pPr>
            <w:r>
              <w:rPr>
                <w:sz w:val="14"/>
              </w:rPr>
              <w:t>$32B to $40B</w:t>
            </w:r>
          </w:p>
        </w:tc>
      </w:tr>
      <w:tr>
        <w:trPr>
          <w:cantSplit/>
        </w:trPr>
        <w:tc>
          <w:tcPr>
            <w:tcW w:type="dxa" w:w="3528"/>
            <w:vAlign w:val="center"/>
            <w:shd w:fill="EEF5FB"/>
            <w:tcBorders>
              <w:top w:val="single" w:sz="4" w:color="D7DEE8"/>
              <w:left w:val="single" w:sz="4" w:color="D7DEE8"/>
              <w:bottom w:val="single" w:sz="4" w:color="D7DEE8"/>
              <w:right w:val="single" w:sz="4" w:color="D7DEE8"/>
            </w:tcBorders>
          </w:tcPr>
          <w:p>
            <w:pPr>
              <w:spacing w:after="0"/>
            </w:pPr>
            <w:r>
              <w:rPr>
                <w:sz w:val="14"/>
              </w:rPr>
              <w:t>FY27 interest expense</w:t>
            </w:r>
          </w:p>
        </w:tc>
        <w:tc>
          <w:tcPr>
            <w:tcW w:type="dxa" w:w="2088"/>
            <w:vAlign w:val="center"/>
            <w:shd w:fill="EEF5FB"/>
            <w:tcBorders>
              <w:top w:val="single" w:sz="4" w:color="D7DEE8"/>
              <w:left w:val="single" w:sz="4" w:color="D7DEE8"/>
              <w:bottom w:val="single" w:sz="4" w:color="D7DEE8"/>
              <w:right w:val="single" w:sz="4" w:color="D7DEE8"/>
            </w:tcBorders>
          </w:tcPr>
          <w:p>
            <w:pPr>
              <w:spacing w:after="0"/>
            </w:pPr>
            <w:r>
              <w:rPr>
                <w:sz w:val="14"/>
              </w:rPr>
              <w:t>$7.0B to $8.0B</w:t>
            </w:r>
          </w:p>
        </w:tc>
        <w:tc>
          <w:tcPr>
            <w:tcW w:type="dxa" w:w="2088"/>
            <w:vAlign w:val="center"/>
            <w:shd w:fill="EEF5FB"/>
            <w:tcBorders>
              <w:top w:val="single" w:sz="4" w:color="D7DEE8"/>
              <w:left w:val="single" w:sz="4" w:color="D7DEE8"/>
              <w:bottom w:val="single" w:sz="4" w:color="D7DEE8"/>
              <w:right w:val="single" w:sz="4" w:color="D7DEE8"/>
            </w:tcBorders>
          </w:tcPr>
          <w:p>
            <w:pPr>
              <w:spacing w:after="0"/>
            </w:pPr>
            <w:r>
              <w:rPr>
                <w:sz w:val="14"/>
              </w:rPr>
              <w:t>$6.0B to $7.0B</w:t>
            </w:r>
          </w:p>
        </w:tc>
        <w:tc>
          <w:tcPr>
            <w:tcW w:type="dxa" w:w="2088"/>
            <w:vAlign w:val="center"/>
            <w:shd w:fill="EEF5FB"/>
            <w:tcBorders>
              <w:top w:val="single" w:sz="4" w:color="D7DEE8"/>
              <w:left w:val="single" w:sz="4" w:color="D7DEE8"/>
              <w:bottom w:val="single" w:sz="4" w:color="D7DEE8"/>
              <w:right w:val="single" w:sz="4" w:color="D7DEE8"/>
            </w:tcBorders>
          </w:tcPr>
          <w:p>
            <w:pPr>
              <w:spacing w:after="0"/>
            </w:pPr>
            <w:r>
              <w:rPr>
                <w:sz w:val="14"/>
              </w:rPr>
              <w:t>$5.5B to $6.5B</w:t>
            </w:r>
          </w:p>
        </w:tc>
      </w:tr>
      <w:tr>
        <w:trPr>
          <w:cantSplit/>
        </w:trPr>
        <w:tc>
          <w:tcPr>
            <w:tcW w:type="dxa" w:w="3528"/>
            <w:vAlign w:val="center"/>
            <w:tcBorders>
              <w:top w:val="single" w:sz="4" w:color="D7DEE8"/>
              <w:left w:val="single" w:sz="4" w:color="D7DEE8"/>
              <w:bottom w:val="single" w:sz="4" w:color="D7DEE8"/>
              <w:right w:val="single" w:sz="4" w:color="D7DEE8"/>
            </w:tcBorders>
          </w:tcPr>
          <w:p>
            <w:pPr>
              <w:spacing w:after="0"/>
            </w:pPr>
            <w:r>
              <w:rPr>
                <w:sz w:val="14"/>
              </w:rPr>
              <w:t>FY28 interest expense</w:t>
            </w:r>
          </w:p>
        </w:tc>
        <w:tc>
          <w:tcPr>
            <w:tcW w:type="dxa" w:w="2088"/>
            <w:vAlign w:val="center"/>
            <w:tcBorders>
              <w:top w:val="single" w:sz="4" w:color="D7DEE8"/>
              <w:left w:val="single" w:sz="4" w:color="D7DEE8"/>
              <w:bottom w:val="single" w:sz="4" w:color="D7DEE8"/>
              <w:right w:val="single" w:sz="4" w:color="D7DEE8"/>
            </w:tcBorders>
          </w:tcPr>
          <w:p>
            <w:pPr>
              <w:spacing w:after="0"/>
            </w:pPr>
            <w:r>
              <w:rPr>
                <w:sz w:val="14"/>
              </w:rPr>
              <w:t>$8.0B to $9.5B</w:t>
            </w:r>
          </w:p>
        </w:tc>
        <w:tc>
          <w:tcPr>
            <w:tcW w:type="dxa" w:w="2088"/>
            <w:vAlign w:val="center"/>
            <w:tcBorders>
              <w:top w:val="single" w:sz="4" w:color="D7DEE8"/>
              <w:left w:val="single" w:sz="4" w:color="D7DEE8"/>
              <w:bottom w:val="single" w:sz="4" w:color="D7DEE8"/>
              <w:right w:val="single" w:sz="4" w:color="D7DEE8"/>
            </w:tcBorders>
          </w:tcPr>
          <w:p>
            <w:pPr>
              <w:spacing w:after="0"/>
            </w:pPr>
            <w:r>
              <w:rPr>
                <w:sz w:val="14"/>
              </w:rPr>
              <w:t>$7.0B to $8.5B</w:t>
            </w:r>
          </w:p>
        </w:tc>
        <w:tc>
          <w:tcPr>
            <w:tcW w:type="dxa" w:w="2088"/>
            <w:vAlign w:val="center"/>
            <w:tcBorders>
              <w:top w:val="single" w:sz="4" w:color="D7DEE8"/>
              <w:left w:val="single" w:sz="4" w:color="D7DEE8"/>
              <w:bottom w:val="single" w:sz="4" w:color="D7DEE8"/>
              <w:right w:val="single" w:sz="4" w:color="D7DEE8"/>
            </w:tcBorders>
          </w:tcPr>
          <w:p>
            <w:pPr>
              <w:spacing w:after="0"/>
            </w:pPr>
            <w:r>
              <w:rPr>
                <w:sz w:val="14"/>
              </w:rPr>
              <w:t>$6.0B to $7.5B</w:t>
            </w:r>
          </w:p>
        </w:tc>
      </w:tr>
      <w:tr>
        <w:trPr>
          <w:cantSplit/>
        </w:trPr>
        <w:tc>
          <w:tcPr>
            <w:tcW w:type="dxa" w:w="3528"/>
            <w:vAlign w:val="center"/>
            <w:shd w:fill="EEF5FB"/>
            <w:tcBorders>
              <w:top w:val="single" w:sz="4" w:color="D7DEE8"/>
              <w:left w:val="single" w:sz="4" w:color="D7DEE8"/>
              <w:bottom w:val="single" w:sz="4" w:color="D7DEE8"/>
              <w:right w:val="single" w:sz="4" w:color="D7DEE8"/>
            </w:tcBorders>
          </w:tcPr>
          <w:p>
            <w:pPr>
              <w:spacing w:after="0"/>
            </w:pPr>
            <w:r>
              <w:rPr>
                <w:sz w:val="14"/>
              </w:rPr>
              <w:t>FY27 ending gross debt</w:t>
            </w:r>
          </w:p>
        </w:tc>
        <w:tc>
          <w:tcPr>
            <w:tcW w:type="dxa" w:w="2088"/>
            <w:vAlign w:val="center"/>
            <w:shd w:fill="EEF5FB"/>
            <w:tcBorders>
              <w:top w:val="single" w:sz="4" w:color="D7DEE8"/>
              <w:left w:val="single" w:sz="4" w:color="D7DEE8"/>
              <w:bottom w:val="single" w:sz="4" w:color="D7DEE8"/>
              <w:right w:val="single" w:sz="4" w:color="D7DEE8"/>
            </w:tcBorders>
          </w:tcPr>
          <w:p>
            <w:pPr>
              <w:spacing w:after="0"/>
            </w:pPr>
            <w:r>
              <w:rPr>
                <w:sz w:val="14"/>
              </w:rPr>
              <w:t>$155B to $165B</w:t>
            </w:r>
          </w:p>
        </w:tc>
        <w:tc>
          <w:tcPr>
            <w:tcW w:type="dxa" w:w="2088"/>
            <w:vAlign w:val="center"/>
            <w:shd w:fill="EEF5FB"/>
            <w:tcBorders>
              <w:top w:val="single" w:sz="4" w:color="D7DEE8"/>
              <w:left w:val="single" w:sz="4" w:color="D7DEE8"/>
              <w:bottom w:val="single" w:sz="4" w:color="D7DEE8"/>
              <w:right w:val="single" w:sz="4" w:color="D7DEE8"/>
            </w:tcBorders>
          </w:tcPr>
          <w:p>
            <w:pPr>
              <w:spacing w:after="0"/>
            </w:pPr>
            <w:r>
              <w:rPr>
                <w:sz w:val="14"/>
              </w:rPr>
              <w:t>$145B to $153B</w:t>
            </w:r>
          </w:p>
        </w:tc>
        <w:tc>
          <w:tcPr>
            <w:tcW w:type="dxa" w:w="2088"/>
            <w:vAlign w:val="center"/>
            <w:shd w:fill="EEF5FB"/>
            <w:tcBorders>
              <w:top w:val="single" w:sz="4" w:color="D7DEE8"/>
              <w:left w:val="single" w:sz="4" w:color="D7DEE8"/>
              <w:bottom w:val="single" w:sz="4" w:color="D7DEE8"/>
              <w:right w:val="single" w:sz="4" w:color="D7DEE8"/>
            </w:tcBorders>
          </w:tcPr>
          <w:p>
            <w:pPr>
              <w:spacing w:after="0"/>
            </w:pPr>
            <w:r>
              <w:rPr>
                <w:sz w:val="14"/>
              </w:rPr>
              <w:t>$138B to $148B</w:t>
            </w:r>
          </w:p>
        </w:tc>
      </w:tr>
      <w:tr>
        <w:trPr>
          <w:cantSplit/>
        </w:trPr>
        <w:tc>
          <w:tcPr>
            <w:tcW w:type="dxa" w:w="3528"/>
            <w:vAlign w:val="center"/>
            <w:tcBorders>
              <w:top w:val="single" w:sz="4" w:color="D7DEE8"/>
              <w:left w:val="single" w:sz="4" w:color="D7DEE8"/>
              <w:bottom w:val="single" w:sz="4" w:color="D7DEE8"/>
              <w:right w:val="single" w:sz="4" w:color="D7DEE8"/>
            </w:tcBorders>
          </w:tcPr>
          <w:p>
            <w:pPr>
              <w:spacing w:after="0"/>
            </w:pPr>
            <w:r>
              <w:rPr>
                <w:sz w:val="14"/>
              </w:rPr>
              <w:t>FY28 ending gross debt</w:t>
            </w:r>
          </w:p>
        </w:tc>
        <w:tc>
          <w:tcPr>
            <w:tcW w:type="dxa" w:w="2088"/>
            <w:vAlign w:val="center"/>
            <w:tcBorders>
              <w:top w:val="single" w:sz="4" w:color="D7DEE8"/>
              <w:left w:val="single" w:sz="4" w:color="D7DEE8"/>
              <w:bottom w:val="single" w:sz="4" w:color="D7DEE8"/>
              <w:right w:val="single" w:sz="4" w:color="D7DEE8"/>
            </w:tcBorders>
          </w:tcPr>
          <w:p>
            <w:pPr>
              <w:spacing w:after="0"/>
            </w:pPr>
            <w:r>
              <w:rPr>
                <w:sz w:val="14"/>
              </w:rPr>
              <w:t>$175B to $195B</w:t>
            </w:r>
          </w:p>
        </w:tc>
        <w:tc>
          <w:tcPr>
            <w:tcW w:type="dxa" w:w="2088"/>
            <w:vAlign w:val="center"/>
            <w:tcBorders>
              <w:top w:val="single" w:sz="4" w:color="D7DEE8"/>
              <w:left w:val="single" w:sz="4" w:color="D7DEE8"/>
              <w:bottom w:val="single" w:sz="4" w:color="D7DEE8"/>
              <w:right w:val="single" w:sz="4" w:color="D7DEE8"/>
            </w:tcBorders>
          </w:tcPr>
          <w:p>
            <w:pPr>
              <w:spacing w:after="0"/>
            </w:pPr>
            <w:r>
              <w:rPr>
                <w:sz w:val="14"/>
              </w:rPr>
              <w:t>$155B to $175B</w:t>
            </w:r>
          </w:p>
        </w:tc>
        <w:tc>
          <w:tcPr>
            <w:tcW w:type="dxa" w:w="2088"/>
            <w:vAlign w:val="center"/>
            <w:tcBorders>
              <w:top w:val="single" w:sz="4" w:color="D7DEE8"/>
              <w:left w:val="single" w:sz="4" w:color="D7DEE8"/>
              <w:bottom w:val="single" w:sz="4" w:color="D7DEE8"/>
              <w:right w:val="single" w:sz="4" w:color="D7DEE8"/>
            </w:tcBorders>
          </w:tcPr>
          <w:p>
            <w:pPr>
              <w:spacing w:after="0"/>
            </w:pPr>
            <w:r>
              <w:rPr>
                <w:sz w:val="14"/>
              </w:rPr>
              <w:t>$140B to $160B</w:t>
            </w:r>
          </w:p>
        </w:tc>
      </w:tr>
      <w:tr>
        <w:trPr>
          <w:cantSplit/>
        </w:trPr>
        <w:tc>
          <w:tcPr>
            <w:tcW w:type="dxa" w:w="3528"/>
            <w:vAlign w:val="center"/>
            <w:shd w:fill="EEF5FB"/>
            <w:tcBorders>
              <w:top w:val="single" w:sz="4" w:color="D7DEE8"/>
              <w:left w:val="single" w:sz="4" w:color="D7DEE8"/>
              <w:bottom w:val="single" w:sz="4" w:color="D7DEE8"/>
              <w:right w:val="single" w:sz="4" w:color="D7DEE8"/>
            </w:tcBorders>
          </w:tcPr>
          <w:p>
            <w:pPr>
              <w:spacing w:after="0"/>
            </w:pPr>
            <w:r>
              <w:rPr>
                <w:sz w:val="14"/>
              </w:rPr>
              <w:t>FY27 ending cash</w:t>
            </w:r>
          </w:p>
        </w:tc>
        <w:tc>
          <w:tcPr>
            <w:tcW w:type="dxa" w:w="2088"/>
            <w:vAlign w:val="center"/>
            <w:shd w:fill="EEF5FB"/>
            <w:tcBorders>
              <w:top w:val="single" w:sz="4" w:color="D7DEE8"/>
              <w:left w:val="single" w:sz="4" w:color="D7DEE8"/>
              <w:bottom w:val="single" w:sz="4" w:color="D7DEE8"/>
              <w:right w:val="single" w:sz="4" w:color="D7DEE8"/>
            </w:tcBorders>
          </w:tcPr>
          <w:p>
            <w:pPr>
              <w:spacing w:after="0"/>
            </w:pPr>
            <w:r>
              <w:rPr>
                <w:sz w:val="14"/>
              </w:rPr>
              <w:t>$12B to $20B</w:t>
            </w:r>
          </w:p>
        </w:tc>
        <w:tc>
          <w:tcPr>
            <w:tcW w:type="dxa" w:w="2088"/>
            <w:vAlign w:val="center"/>
            <w:shd w:fill="EEF5FB"/>
            <w:tcBorders>
              <w:top w:val="single" w:sz="4" w:color="D7DEE8"/>
              <w:left w:val="single" w:sz="4" w:color="D7DEE8"/>
              <w:bottom w:val="single" w:sz="4" w:color="D7DEE8"/>
              <w:right w:val="single" w:sz="4" w:color="D7DEE8"/>
            </w:tcBorders>
          </w:tcPr>
          <w:p>
            <w:pPr>
              <w:spacing w:after="0"/>
            </w:pPr>
            <w:r>
              <w:rPr>
                <w:sz w:val="14"/>
              </w:rPr>
              <w:t>$20B to $28B</w:t>
            </w:r>
          </w:p>
        </w:tc>
        <w:tc>
          <w:tcPr>
            <w:tcW w:type="dxa" w:w="2088"/>
            <w:vAlign w:val="center"/>
            <w:shd w:fill="EEF5FB"/>
            <w:tcBorders>
              <w:top w:val="single" w:sz="4" w:color="D7DEE8"/>
              <w:left w:val="single" w:sz="4" w:color="D7DEE8"/>
              <w:bottom w:val="single" w:sz="4" w:color="D7DEE8"/>
              <w:right w:val="single" w:sz="4" w:color="D7DEE8"/>
            </w:tcBorders>
          </w:tcPr>
          <w:p>
            <w:pPr>
              <w:spacing w:after="0"/>
            </w:pPr>
            <w:r>
              <w:rPr>
                <w:sz w:val="14"/>
              </w:rPr>
              <w:t>$28B to $38B</w:t>
            </w:r>
          </w:p>
        </w:tc>
      </w:tr>
      <w:tr>
        <w:trPr>
          <w:cantSplit/>
        </w:trPr>
        <w:tc>
          <w:tcPr>
            <w:tcW w:type="dxa" w:w="3528"/>
            <w:vAlign w:val="center"/>
            <w:tcBorders>
              <w:top w:val="single" w:sz="4" w:color="D7DEE8"/>
              <w:left w:val="single" w:sz="4" w:color="D7DEE8"/>
              <w:bottom w:val="single" w:sz="4" w:color="D7DEE8"/>
              <w:right w:val="single" w:sz="4" w:color="D7DEE8"/>
            </w:tcBorders>
          </w:tcPr>
          <w:p>
            <w:pPr>
              <w:spacing w:after="0"/>
            </w:pPr>
            <w:r>
              <w:rPr>
                <w:sz w:val="14"/>
              </w:rPr>
              <w:t>FY28 ending cash</w:t>
            </w:r>
          </w:p>
        </w:tc>
        <w:tc>
          <w:tcPr>
            <w:tcW w:type="dxa" w:w="2088"/>
            <w:vAlign w:val="center"/>
            <w:tcBorders>
              <w:top w:val="single" w:sz="4" w:color="D7DEE8"/>
              <w:left w:val="single" w:sz="4" w:color="D7DEE8"/>
              <w:bottom w:val="single" w:sz="4" w:color="D7DEE8"/>
              <w:right w:val="single" w:sz="4" w:color="D7DEE8"/>
            </w:tcBorders>
          </w:tcPr>
          <w:p>
            <w:pPr>
              <w:spacing w:after="0"/>
            </w:pPr>
            <w:r>
              <w:rPr>
                <w:sz w:val="14"/>
              </w:rPr>
              <w:t>$10B to $18B</w:t>
            </w:r>
          </w:p>
        </w:tc>
        <w:tc>
          <w:tcPr>
            <w:tcW w:type="dxa" w:w="2088"/>
            <w:vAlign w:val="center"/>
            <w:tcBorders>
              <w:top w:val="single" w:sz="4" w:color="D7DEE8"/>
              <w:left w:val="single" w:sz="4" w:color="D7DEE8"/>
              <w:bottom w:val="single" w:sz="4" w:color="D7DEE8"/>
              <w:right w:val="single" w:sz="4" w:color="D7DEE8"/>
            </w:tcBorders>
          </w:tcPr>
          <w:p>
            <w:pPr>
              <w:spacing w:after="0"/>
            </w:pPr>
            <w:r>
              <w:rPr>
                <w:sz w:val="14"/>
              </w:rPr>
              <w:t>$18B to $28B</w:t>
            </w:r>
          </w:p>
        </w:tc>
        <w:tc>
          <w:tcPr>
            <w:tcW w:type="dxa" w:w="2088"/>
            <w:vAlign w:val="center"/>
            <w:tcBorders>
              <w:top w:val="single" w:sz="4" w:color="D7DEE8"/>
              <w:left w:val="single" w:sz="4" w:color="D7DEE8"/>
              <w:bottom w:val="single" w:sz="4" w:color="D7DEE8"/>
              <w:right w:val="single" w:sz="4" w:color="D7DEE8"/>
            </w:tcBorders>
          </w:tcPr>
          <w:p>
            <w:pPr>
              <w:spacing w:after="0"/>
            </w:pPr>
            <w:r>
              <w:rPr>
                <w:sz w:val="14"/>
              </w:rPr>
              <w:t>$30B to $45B</w:t>
            </w:r>
          </w:p>
        </w:tc>
      </w:tr>
      <w:tr>
        <w:trPr>
          <w:cantSplit/>
        </w:trPr>
        <w:tc>
          <w:tcPr>
            <w:tcW w:type="dxa" w:w="3528"/>
            <w:vAlign w:val="center"/>
            <w:shd w:fill="EEF5FB"/>
            <w:tcBorders>
              <w:top w:val="single" w:sz="4" w:color="D7DEE8"/>
              <w:left w:val="single" w:sz="4" w:color="D7DEE8"/>
              <w:bottom w:val="single" w:sz="4" w:color="D7DEE8"/>
              <w:right w:val="single" w:sz="4" w:color="D7DEE8"/>
            </w:tcBorders>
          </w:tcPr>
          <w:p>
            <w:pPr>
              <w:spacing w:after="0"/>
            </w:pPr>
            <w:r>
              <w:rPr>
                <w:sz w:val="14"/>
              </w:rPr>
              <w:t>FY27 diluted shares</w:t>
            </w:r>
          </w:p>
        </w:tc>
        <w:tc>
          <w:tcPr>
            <w:tcW w:type="dxa" w:w="2088"/>
            <w:vAlign w:val="center"/>
            <w:shd w:fill="EEF5FB"/>
            <w:tcBorders>
              <w:top w:val="single" w:sz="4" w:color="D7DEE8"/>
              <w:left w:val="single" w:sz="4" w:color="D7DEE8"/>
              <w:bottom w:val="single" w:sz="4" w:color="D7DEE8"/>
              <w:right w:val="single" w:sz="4" w:color="D7DEE8"/>
            </w:tcBorders>
          </w:tcPr>
          <w:p>
            <w:pPr>
              <w:spacing w:after="0"/>
            </w:pPr>
            <w:r>
              <w:rPr>
                <w:sz w:val="14"/>
              </w:rPr>
              <w:t>3.10B to 3.17B</w:t>
            </w:r>
          </w:p>
        </w:tc>
        <w:tc>
          <w:tcPr>
            <w:tcW w:type="dxa" w:w="2088"/>
            <w:vAlign w:val="center"/>
            <w:shd w:fill="EEF5FB"/>
            <w:tcBorders>
              <w:top w:val="single" w:sz="4" w:color="D7DEE8"/>
              <w:left w:val="single" w:sz="4" w:color="D7DEE8"/>
              <w:bottom w:val="single" w:sz="4" w:color="D7DEE8"/>
              <w:right w:val="single" w:sz="4" w:color="D7DEE8"/>
            </w:tcBorders>
          </w:tcPr>
          <w:p>
            <w:pPr>
              <w:spacing w:after="0"/>
            </w:pPr>
            <w:r>
              <w:rPr>
                <w:sz w:val="14"/>
              </w:rPr>
              <w:t>3.03B to 3.10B</w:t>
            </w:r>
          </w:p>
        </w:tc>
        <w:tc>
          <w:tcPr>
            <w:tcW w:type="dxa" w:w="2088"/>
            <w:vAlign w:val="center"/>
            <w:shd w:fill="EEF5FB"/>
            <w:tcBorders>
              <w:top w:val="single" w:sz="4" w:color="D7DEE8"/>
              <w:left w:val="single" w:sz="4" w:color="D7DEE8"/>
              <w:bottom w:val="single" w:sz="4" w:color="D7DEE8"/>
              <w:right w:val="single" w:sz="4" w:color="D7DEE8"/>
            </w:tcBorders>
          </w:tcPr>
          <w:p>
            <w:pPr>
              <w:spacing w:after="0"/>
            </w:pPr>
            <w:r>
              <w:rPr>
                <w:sz w:val="14"/>
              </w:rPr>
              <w:t>2.98B to 3.06B</w:t>
            </w:r>
          </w:p>
        </w:tc>
      </w:tr>
      <w:tr>
        <w:trPr>
          <w:cantSplit/>
        </w:trPr>
        <w:tc>
          <w:tcPr>
            <w:tcW w:type="dxa" w:w="3528"/>
            <w:vAlign w:val="center"/>
            <w:tcBorders>
              <w:top w:val="single" w:sz="4" w:color="D7DEE8"/>
              <w:left w:val="single" w:sz="4" w:color="D7DEE8"/>
              <w:bottom w:val="single" w:sz="4" w:color="D7DEE8"/>
              <w:right w:val="single" w:sz="4" w:color="D7DEE8"/>
            </w:tcBorders>
          </w:tcPr>
          <w:p>
            <w:pPr>
              <w:spacing w:after="0"/>
            </w:pPr>
            <w:r>
              <w:rPr>
                <w:sz w:val="14"/>
              </w:rPr>
              <w:t>FY28 diluted shares</w:t>
            </w:r>
          </w:p>
        </w:tc>
        <w:tc>
          <w:tcPr>
            <w:tcW w:type="dxa" w:w="2088"/>
            <w:vAlign w:val="center"/>
            <w:tcBorders>
              <w:top w:val="single" w:sz="4" w:color="D7DEE8"/>
              <w:left w:val="single" w:sz="4" w:color="D7DEE8"/>
              <w:bottom w:val="single" w:sz="4" w:color="D7DEE8"/>
              <w:right w:val="single" w:sz="4" w:color="D7DEE8"/>
            </w:tcBorders>
          </w:tcPr>
          <w:p>
            <w:pPr>
              <w:spacing w:after="0"/>
            </w:pPr>
            <w:r>
              <w:rPr>
                <w:sz w:val="14"/>
              </w:rPr>
              <w:t>3.18B to 3.28B</w:t>
            </w:r>
          </w:p>
        </w:tc>
        <w:tc>
          <w:tcPr>
            <w:tcW w:type="dxa" w:w="2088"/>
            <w:vAlign w:val="center"/>
            <w:tcBorders>
              <w:top w:val="single" w:sz="4" w:color="D7DEE8"/>
              <w:left w:val="single" w:sz="4" w:color="D7DEE8"/>
              <w:bottom w:val="single" w:sz="4" w:color="D7DEE8"/>
              <w:right w:val="single" w:sz="4" w:color="D7DEE8"/>
            </w:tcBorders>
          </w:tcPr>
          <w:p>
            <w:pPr>
              <w:spacing w:after="0"/>
            </w:pPr>
            <w:r>
              <w:rPr>
                <w:sz w:val="14"/>
              </w:rPr>
              <w:t>3.11B to 3.20B</w:t>
            </w:r>
          </w:p>
        </w:tc>
        <w:tc>
          <w:tcPr>
            <w:tcW w:type="dxa" w:w="2088"/>
            <w:vAlign w:val="center"/>
            <w:tcBorders>
              <w:top w:val="single" w:sz="4" w:color="D7DEE8"/>
              <w:left w:val="single" w:sz="4" w:color="D7DEE8"/>
              <w:bottom w:val="single" w:sz="4" w:color="D7DEE8"/>
              <w:right w:val="single" w:sz="4" w:color="D7DEE8"/>
            </w:tcBorders>
          </w:tcPr>
          <w:p>
            <w:pPr>
              <w:spacing w:after="0"/>
            </w:pPr>
            <w:r>
              <w:rPr>
                <w:sz w:val="14"/>
              </w:rPr>
              <w:t>3.04B to 3.13B</w:t>
            </w:r>
          </w:p>
        </w:tc>
      </w:tr>
    </w:tbl>
    <w:p>
      <w:pPr>
        <w:spacing w:after="20"/>
      </w:pPr>
    </w:p>
    <w:tbl>
      <w:tblPr>
        <w:tblW w:type="auto" w:w="0"/>
        <w:jc w:val="center"/>
        <w:tblLook w:firstColumn="1" w:firstRow="1" w:lastColumn="0" w:lastRow="0" w:noHBand="0" w:noVBand="1" w:val="04A0"/>
      </w:tblPr>
      <w:tblGrid>
        <w:gridCol w:w="10166"/>
      </w:tblGrid>
      <w:tr>
        <w:trPr>
          <w:cantSplit/>
        </w:trPr>
        <w:tc>
          <w:tcPr>
            <w:tcW w:type="dxa" w:w="10166"/>
            <w:shd w:fill="D9EAF7"/>
            <w:tcBorders>
              <w:top w:val="single" w:sz="10" w:color="2F5597"/>
              <w:left w:val="single" w:sz="10" w:color="2F5597"/>
              <w:bottom w:val="single" w:sz="10" w:color="2F5597"/>
              <w:right w:val="single" w:sz="10" w:color="2F5597"/>
            </w:tcBorders>
          </w:tcPr>
          <w:p>
            <w:pPr>
              <w:spacing w:after="60"/>
            </w:pPr>
            <w:r>
              <w:rPr>
                <w:b/>
                <w:color w:val="17365D"/>
                <w:sz w:val="20"/>
              </w:rPr>
              <w:t>Interpretation</w:t>
            </w:r>
          </w:p>
          <w:p>
            <w:pPr>
              <w:spacing w:after="20"/>
            </w:pPr>
            <w:r>
              <w:rPr>
                <w:sz w:val="18"/>
              </w:rPr>
              <w:t>The bull case can contain more gross capex than the bear case because more capacity is successfully delivered. The differentiator is productive capacity, customer funding, utilization and return per dollar of Oracle capital.</w:t>
            </w:r>
          </w:p>
        </w:tc>
      </w:tr>
    </w:tbl>
    <w:p>
      <w:pPr>
        <w:spacing w:after="20"/>
      </w:pPr>
    </w:p>
    <w:p>
      <w:pPr>
        <w:pStyle w:val="Heading1"/>
      </w:pPr>
      <w:r>
        <w:t>11. Market consensus</w:t>
      </w:r>
    </w:p>
    <w:p>
      <w:r>
        <w:t>A public consensus aggregation published in late June 2026 showed FY27 revenue expectations near $89.2 billion, close to Oracle’s $90 billion guidance. Publicly available statutory EPS estimates are not directly comparable with Oracle’s non-GAAP EPS guide.</w:t>
      </w:r>
    </w:p>
    <w:p>
      <w:r>
        <w:t>The market therefore appears to expect Oracle to come close to its revenue target. Delivery of $90 billion may be insufficient for a major rerating unless it is accompanied by better margins, lower funding requirements, less dilution and clearer free-cash-flow visibility.</w:t>
      </w:r>
    </w:p>
    <w:tbl>
      <w:tblPr>
        <w:tblW w:type="auto" w:w="0"/>
        <w:jc w:val="center"/>
        <w:tblLook w:firstColumn="1" w:firstRow="1" w:lastColumn="0" w:lastRow="0" w:noHBand="0" w:noVBand="1" w:val="04A0"/>
      </w:tblPr>
      <w:tblGrid>
        <w:gridCol w:w="10166"/>
      </w:tblGrid>
      <w:tr>
        <w:trPr>
          <w:cantSplit/>
        </w:trPr>
        <w:tc>
          <w:tcPr>
            <w:tcW w:type="dxa" w:w="10166"/>
            <w:shd w:fill="D9EAF7"/>
            <w:tcBorders>
              <w:top w:val="single" w:sz="10" w:color="2F5597"/>
              <w:left w:val="single" w:sz="10" w:color="2F5597"/>
              <w:bottom w:val="single" w:sz="10" w:color="2F5597"/>
              <w:right w:val="single" w:sz="10" w:color="2F5597"/>
            </w:tcBorders>
          </w:tcPr>
          <w:p>
            <w:pPr>
              <w:spacing w:after="60"/>
            </w:pPr>
            <w:r>
              <w:rPr>
                <w:b/>
                <w:color w:val="17365D"/>
                <w:sz w:val="20"/>
              </w:rPr>
              <w:t>Final model requirement</w:t>
            </w:r>
          </w:p>
          <w:p>
            <w:pPr>
              <w:spacing w:after="20"/>
            </w:pPr>
            <w:r>
              <w:rPr>
                <w:sz w:val="18"/>
              </w:rPr>
              <w:t>Use a live institutional source such as Bloomberg, FactSet or Visible Alpha for quarterly OCI, applications, margin, capex and EPS consensus. Public aggregations are too incomplete for a precise earnings-date model.</w:t>
            </w:r>
          </w:p>
        </w:tc>
      </w:tr>
    </w:tbl>
    <w:p>
      <w:pPr>
        <w:spacing w:after="20"/>
      </w:pPr>
    </w:p>
    <w:p>
      <w:pPr>
        <w:pStyle w:val="Heading1"/>
      </w:pPr>
      <w:r>
        <w:t>12. Multiple expansion and contraction milestones</w:t>
      </w:r>
    </w:p>
    <w:p>
      <w:pPr>
        <w:pStyle w:val="Heading2"/>
      </w:pPr>
      <w:r>
        <w:t>Higher-multiple milestones</w:t>
      </w:r>
    </w:p>
    <w:p>
      <w:pPr>
        <w:pStyle w:val="ExecutiveBullet"/>
      </w:pPr>
      <w:r>
        <w:rPr>
          <w:b/>
        </w:rPr>
        <w:t xml:space="preserve">• </w:t>
      </w:r>
      <w:r>
        <w:t>OCI demonstrates a credible path above 110% FY27 growth.</w:t>
      </w:r>
    </w:p>
    <w:p>
      <w:pPr>
        <w:pStyle w:val="ExecutiveBullet"/>
      </w:pPr>
      <w:r>
        <w:rPr>
          <w:b/>
        </w:rPr>
        <w:t xml:space="preserve">• </w:t>
      </w:r>
      <w:r>
        <w:t>Capacity additions enter service on time.</w:t>
      </w:r>
    </w:p>
    <w:p>
      <w:pPr>
        <w:pStyle w:val="ExecutiveBullet"/>
      </w:pPr>
      <w:r>
        <w:rPr>
          <w:b/>
        </w:rPr>
        <w:t xml:space="preserve">• </w:t>
      </w:r>
      <w:r>
        <w:t>Current RPO conversion rises.</w:t>
      </w:r>
    </w:p>
    <w:p>
      <w:pPr>
        <w:pStyle w:val="ExecutiveBullet"/>
      </w:pPr>
      <w:r>
        <w:rPr>
          <w:b/>
        </w:rPr>
        <w:t xml:space="preserve">• </w:t>
      </w:r>
      <w:r>
        <w:t>OCI gross margin is confirmed within the 30% to 40% range.</w:t>
      </w:r>
    </w:p>
    <w:p>
      <w:pPr>
        <w:pStyle w:val="ExecutiveBullet"/>
      </w:pPr>
      <w:r>
        <w:rPr>
          <w:b/>
        </w:rPr>
        <w:t xml:space="preserve">• </w:t>
      </w:r>
      <w:r>
        <w:t>Mature infrastructure cohorts show improving margins.</w:t>
      </w:r>
    </w:p>
    <w:p>
      <w:pPr>
        <w:pStyle w:val="ExecutiveBullet"/>
      </w:pPr>
      <w:r>
        <w:rPr>
          <w:b/>
        </w:rPr>
        <w:t xml:space="preserve">• </w:t>
      </w:r>
      <w:r>
        <w:t>Customer funding lowers Oracle’s capital burden.</w:t>
      </w:r>
    </w:p>
    <w:p>
      <w:pPr>
        <w:pStyle w:val="ExecutiveBullet"/>
      </w:pPr>
      <w:r>
        <w:rPr>
          <w:b/>
        </w:rPr>
        <w:t xml:space="preserve">• </w:t>
      </w:r>
      <w:r>
        <w:t>Capex per dollar of incremental OCI revenue declines.</w:t>
      </w:r>
    </w:p>
    <w:p>
      <w:pPr>
        <w:pStyle w:val="ExecutiveBullet"/>
      </w:pPr>
      <w:r>
        <w:rPr>
          <w:b/>
        </w:rPr>
        <w:t xml:space="preserve">• </w:t>
      </w:r>
      <w:r>
        <w:t>Net leverage peaks and begins falling.</w:t>
      </w:r>
    </w:p>
    <w:p>
      <w:pPr>
        <w:pStyle w:val="ExecutiveBullet"/>
      </w:pPr>
      <w:r>
        <w:rPr>
          <w:b/>
        </w:rPr>
        <w:t xml:space="preserve">• </w:t>
      </w:r>
      <w:r>
        <w:t>Oracle avoids another credit downgrade.</w:t>
      </w:r>
    </w:p>
    <w:p>
      <w:pPr>
        <w:pStyle w:val="ExecutiveBullet"/>
      </w:pPr>
      <w:r>
        <w:rPr>
          <w:b/>
        </w:rPr>
        <w:t xml:space="preserve">• </w:t>
      </w:r>
      <w:r>
        <w:t>Applications deferred revenue remains stronger than reported growth.</w:t>
      </w:r>
    </w:p>
    <w:p>
      <w:pPr>
        <w:pStyle w:val="ExecutiveBullet"/>
      </w:pPr>
      <w:r>
        <w:rPr>
          <w:b/>
        </w:rPr>
        <w:t xml:space="preserve">• </w:t>
      </w:r>
      <w:r>
        <w:t>Oracle issues less common equity than the full ATM authorization.</w:t>
      </w:r>
    </w:p>
    <w:p>
      <w:pPr>
        <w:pStyle w:val="ExecutiveBullet"/>
      </w:pPr>
      <w:r>
        <w:rPr>
          <w:b/>
        </w:rPr>
        <w:t xml:space="preserve">• </w:t>
      </w:r>
      <w:r>
        <w:t>Positive free cash flow becomes visible within a credible horizon.</w:t>
      </w:r>
    </w:p>
    <w:p>
      <w:pPr>
        <w:pStyle w:val="ExecutiveBullet"/>
      </w:pPr>
      <w:r>
        <w:rPr>
          <w:b/>
        </w:rPr>
        <w:t xml:space="preserve">• </w:t>
      </w:r>
      <w:r>
        <w:t>Customer concentration declines.</w:t>
      </w:r>
    </w:p>
    <w:p>
      <w:pPr>
        <w:pStyle w:val="ExecutiveBullet"/>
      </w:pPr>
      <w:r>
        <w:rPr>
          <w:b/>
        </w:rPr>
        <w:t xml:space="preserve">• </w:t>
      </w:r>
      <w:r>
        <w:t>Non-AI OCI, database and multicloud growth broadens demand.</w:t>
      </w:r>
    </w:p>
    <w:p>
      <w:pPr>
        <w:pStyle w:val="Heading2"/>
      </w:pPr>
      <w:r>
        <w:t>Lower-multiple milestones</w:t>
      </w:r>
    </w:p>
    <w:p>
      <w:pPr>
        <w:pStyle w:val="ExecutiveBullet"/>
      </w:pPr>
      <w:r>
        <w:rPr>
          <w:b/>
        </w:rPr>
        <w:t xml:space="preserve">• </w:t>
      </w:r>
      <w:r>
        <w:t>Material power, construction or equipment delays.</w:t>
      </w:r>
    </w:p>
    <w:p>
      <w:pPr>
        <w:pStyle w:val="ExecutiveBullet"/>
      </w:pPr>
      <w:r>
        <w:rPr>
          <w:b/>
        </w:rPr>
        <w:t xml:space="preserve">• </w:t>
      </w:r>
      <w:r>
        <w:t>Capex exceeds plan without corresponding revenue.</w:t>
      </w:r>
    </w:p>
    <w:p>
      <w:pPr>
        <w:pStyle w:val="ExecutiveBullet"/>
      </w:pPr>
      <w:r>
        <w:rPr>
          <w:b/>
        </w:rPr>
        <w:t xml:space="preserve">• </w:t>
      </w:r>
      <w:r>
        <w:t>OCI gross margin remains below 30%.</w:t>
      </w:r>
    </w:p>
    <w:p>
      <w:pPr>
        <w:pStyle w:val="ExecutiveBullet"/>
      </w:pPr>
      <w:r>
        <w:rPr>
          <w:b/>
        </w:rPr>
        <w:t xml:space="preserve">• </w:t>
      </w:r>
      <w:r>
        <w:t>RPO conversion is pushed into later periods.</w:t>
      </w:r>
    </w:p>
    <w:p>
      <w:pPr>
        <w:pStyle w:val="ExecutiveBullet"/>
      </w:pPr>
      <w:r>
        <w:rPr>
          <w:b/>
        </w:rPr>
        <w:t xml:space="preserve">• </w:t>
      </w:r>
      <w:r>
        <w:t>Large customers seek contract changes or experience funding pressure.</w:t>
      </w:r>
    </w:p>
    <w:p>
      <w:pPr>
        <w:pStyle w:val="ExecutiveBullet"/>
      </w:pPr>
      <w:r>
        <w:rPr>
          <w:b/>
        </w:rPr>
        <w:t xml:space="preserve">• </w:t>
      </w:r>
      <w:r>
        <w:t>Lease commitments grow faster than revenue capacity.</w:t>
      </w:r>
    </w:p>
    <w:p>
      <w:pPr>
        <w:pStyle w:val="ExecutiveBullet"/>
      </w:pPr>
      <w:r>
        <w:rPr>
          <w:b/>
        </w:rPr>
        <w:t xml:space="preserve">• </w:t>
      </w:r>
      <w:r>
        <w:t>Interest expense exceeds expectations.</w:t>
      </w:r>
    </w:p>
    <w:p>
      <w:pPr>
        <w:pStyle w:val="ExecutiveBullet"/>
      </w:pPr>
      <w:r>
        <w:rPr>
          <w:b/>
        </w:rPr>
        <w:t xml:space="preserve">• </w:t>
      </w:r>
      <w:r>
        <w:t>The ATM is executed at a low share price.</w:t>
      </w:r>
    </w:p>
    <w:p>
      <w:pPr>
        <w:pStyle w:val="ExecutiveBullet"/>
      </w:pPr>
      <w:r>
        <w:rPr>
          <w:b/>
        </w:rPr>
        <w:t xml:space="preserve">• </w:t>
      </w:r>
      <w:r>
        <w:t>Applications growth falls below high-single digits.</w:t>
      </w:r>
    </w:p>
    <w:p>
      <w:pPr>
        <w:pStyle w:val="ExecutiveBullet"/>
      </w:pPr>
      <w:r>
        <w:rPr>
          <w:b/>
        </w:rPr>
        <w:t xml:space="preserve">• </w:t>
      </w:r>
      <w:r>
        <w:t>Software support begins to contract.</w:t>
      </w:r>
    </w:p>
    <w:p>
      <w:pPr>
        <w:pStyle w:val="ExecutiveBullet"/>
      </w:pPr>
      <w:r>
        <w:rPr>
          <w:b/>
        </w:rPr>
        <w:t xml:space="preserve">• </w:t>
      </w:r>
      <w:r>
        <w:t>Free cash flow remains deeply negative beyond FY29.</w:t>
      </w:r>
    </w:p>
    <w:p>
      <w:pPr>
        <w:pStyle w:val="ExecutiveBullet"/>
      </w:pPr>
      <w:r>
        <w:rPr>
          <w:b/>
        </w:rPr>
        <w:t xml:space="preserve">• </w:t>
      </w:r>
      <w:r>
        <w:t>A further credit-rating downgrade occurs.</w:t>
      </w:r>
    </w:p>
    <w:p>
      <w:pPr>
        <w:pStyle w:val="ExecutiveBullet"/>
      </w:pPr>
      <w:r>
        <w:rPr>
          <w:b/>
        </w:rPr>
        <w:t xml:space="preserve">• </w:t>
      </w:r>
      <w:r>
        <w:t>Oracle requires financing beyond its disclosed plan.</w:t>
      </w:r>
    </w:p>
    <w:p>
      <w:pPr>
        <w:pStyle w:val="ExecutiveBullet"/>
      </w:pPr>
      <w:r>
        <w:rPr>
          <w:b/>
        </w:rPr>
        <w:t xml:space="preserve">• </w:t>
      </w:r>
      <w:r>
        <w:t>Customer-supplied hardware creates operational or accounting complications.</w:t>
      </w:r>
    </w:p>
    <w:p>
      <w:pPr>
        <w:pStyle w:val="Heading1"/>
      </w:pPr>
      <w:r>
        <w:t>13. Eight-quarter model structure</w:t>
      </w:r>
    </w:p>
    <w:p>
      <w:r>
        <w:t>The model should include FY25 Q1 through FY26 Q4 actual history and FY27 Q1 through FY28 Q4 forecasts, with bear, base and bull scenario switching, year-over-year growth, sequential growth, consensus comparison and management-guidance comparison.</w:t>
      </w:r>
    </w:p>
    <w:p>
      <w:pPr>
        <w:pStyle w:val="Heading2"/>
      </w:pPr>
      <w:r>
        <w:t>1. Control panel</w:t>
      </w:r>
    </w:p>
    <w:p>
      <w:r>
        <w:t>Scenario selector; Valuation-date selector; Multiple assumptions; Tax rate; Foreign exchange; Share-issuance price; Debt rates; Asset useful lives.</w:t>
      </w:r>
    </w:p>
    <w:p>
      <w:pPr>
        <w:pStyle w:val="Heading2"/>
      </w:pPr>
      <w:r>
        <w:t>2. Historical revenue recast</w:t>
      </w:r>
    </w:p>
    <w:p>
      <w:r>
        <w:t>OCI; Cloud applications; Software support; Software licenses; Hardware; Services; Reported-category reconciliation.</w:t>
      </w:r>
    </w:p>
    <w:p>
      <w:pPr>
        <w:pStyle w:val="Heading2"/>
      </w:pPr>
      <w:r>
        <w:t>3. OCI operating drivers</w:t>
      </w:r>
    </w:p>
    <w:p>
      <w:r>
        <w:t>Beginning capacity index; Capacity additions; In-service date; Quarterly ramp factor; Utilization; Revenue per unit; AI versus non-AI mix; Prepaid/BYOH percentage; RPO conversion.</w:t>
      </w:r>
    </w:p>
    <w:p>
      <w:pPr>
        <w:pStyle w:val="Heading2"/>
      </w:pPr>
      <w:r>
        <w:t>4. Applications drivers</w:t>
      </w:r>
    </w:p>
    <w:p>
      <w:r>
        <w:t>Beginning recurring base; Retention; Expansion; New go-lives; Deferred revenue; Oracle Health, Fusion and NetSuite KPIs.</w:t>
      </w:r>
    </w:p>
    <w:p>
      <w:pPr>
        <w:pStyle w:val="Heading2"/>
      </w:pPr>
      <w:r>
        <w:t>5. Revenue summary</w:t>
      </w:r>
    </w:p>
    <w:p>
      <w:r>
        <w:t>Quarterly revenue by category; Growth; Mix; Reconciliation to total revenue.</w:t>
      </w:r>
    </w:p>
    <w:p>
      <w:pPr>
        <w:pStyle w:val="Heading2"/>
      </w:pPr>
      <w:r>
        <w:t>6. Cost and margin schedule</w:t>
      </w:r>
    </w:p>
    <w:p>
      <w:r>
        <w:t>OCI cost of revenue; Applications and support cost; Hardware cost; Services cost; Gross profit; GAAP and non-GAAP gross margin.</w:t>
      </w:r>
    </w:p>
    <w:p>
      <w:pPr>
        <w:pStyle w:val="Heading2"/>
      </w:pPr>
      <w:r>
        <w:t>7. Operating-expense schedule</w:t>
      </w:r>
    </w:p>
    <w:p>
      <w:r>
        <w:t>Sales and marketing; Research and development; General and administrative; Amortization; Stock compensation; Restructuring; GAAP operating income; Non-GAAP operating income; EBITDA.</w:t>
      </w:r>
    </w:p>
    <w:p>
      <w:pPr>
        <w:pStyle w:val="Heading2"/>
      </w:pPr>
      <w:r>
        <w:t>8. Capex and depreciation</w:t>
      </w:r>
    </w:p>
    <w:p>
      <w:r>
        <w:t>Gross capex; Customer prepayment funding; Customer-supplied hardware; Short-term financing; Net cash capex; Construction in progress; Assets placed in service; Depreciation by vintage; Maintenance versus growth capex.</w:t>
      </w:r>
    </w:p>
    <w:p>
      <w:pPr>
        <w:pStyle w:val="Heading2"/>
      </w:pPr>
      <w:r>
        <w:t>9. RPO and working capital</w:t>
      </w:r>
    </w:p>
    <w:p>
      <w:r>
        <w:t>Beginning RPO; Bookings; Revenue conversion; Ending RPO; Current RPO; Deferred revenue; Customer prepayments; Receivables; Payables.</w:t>
      </w:r>
    </w:p>
    <w:p>
      <w:pPr>
        <w:pStyle w:val="Heading2"/>
      </w:pPr>
      <w:r>
        <w:t>10. Debt, leases and cash</w:t>
      </w:r>
    </w:p>
    <w:p>
      <w:r>
        <w:t>Debt by instrument; New issuance; Repayments; Average debt; Interest rate; Interest expense; Lease liabilities; Lease commencements; Cash; Net debt; Lease-adjusted net debt.</w:t>
      </w:r>
    </w:p>
    <w:p>
      <w:pPr>
        <w:pStyle w:val="Heading2"/>
      </w:pPr>
      <w:r>
        <w:t>11. Equity and diluted shares</w:t>
      </w:r>
    </w:p>
    <w:p>
      <w:r>
        <w:t>Basic shares; RSUs and options; ATM issuance; Average issuance price; Mandatory convertible; Preferred dividends; Diluted weighted-average shares.</w:t>
      </w:r>
    </w:p>
    <w:p>
      <w:pPr>
        <w:pStyle w:val="Heading2"/>
      </w:pPr>
      <w:r>
        <w:t>12. Cash flow and returns</w:t>
      </w:r>
    </w:p>
    <w:p>
      <w:r>
        <w:t>Operating cash flow; Gross capex; Net cash capex; Free cash flow; EBITDA less capex; Incremental invested capital; Incremental NOPAT; ROIC.</w:t>
      </w:r>
    </w:p>
    <w:p>
      <w:pPr>
        <w:pStyle w:val="Heading2"/>
      </w:pPr>
      <w:r>
        <w:t>13. Quarterly valuation</w:t>
      </w:r>
    </w:p>
    <w:p>
      <w:r>
        <w:t>NTM revenue; NTM EBITDA; NTM EPS; Target multiples; Enterprise value; Equity value; Per-share target; SOTP cross-check; DCF cross-check.</w:t>
      </w:r>
    </w:p>
    <w:p>
      <w:pPr>
        <w:pStyle w:val="Heading1"/>
      </w:pPr>
      <w:r>
        <w:t>14. Valuation dates and NTM periods</w:t>
      </w:r>
    </w:p>
    <w:tbl>
      <w:tblPr>
        <w:tblStyle w:val="TableGrid"/>
        <w:tblW w:type="auto" w:w="0"/>
        <w:jc w:val="center"/>
        <w:tblLayout w:type="fixed"/>
        <w:tblLook w:firstColumn="1" w:firstRow="1" w:lastColumn="0" w:lastRow="0" w:noHBand="0" w:noVBand="1" w:val="04A0"/>
      </w:tblPr>
      <w:tblGrid>
        <w:gridCol w:w="3389"/>
        <w:gridCol w:w="3389"/>
        <w:gridCol w:w="3389"/>
      </w:tblGrid>
      <w:tr>
        <w:trPr>
          <w:cantSplit/>
        </w:trPr>
        <w:tc>
          <w:tcPr>
            <w:tcW w:type="dxa" w:w="3024"/>
            <w:vAlign w:val="center"/>
            <w:shd w:fill="17365D"/>
            <w:tcBorders>
              <w:top w:val="single" w:sz="4" w:color="D7DEE8"/>
              <w:left w:val="single" w:sz="4" w:color="D7DEE8"/>
              <w:bottom w:val="single" w:sz="4" w:color="D7DEE8"/>
              <w:right w:val="single" w:sz="4" w:color="D7DEE8"/>
            </w:tcBorders>
          </w:tcPr>
          <w:p>
            <w:r>
              <w:rPr>
                <w:b/>
                <w:color w:val="FFFFFF"/>
                <w:sz w:val="16"/>
              </w:rPr>
              <w:t>Valuation point</w:t>
            </w:r>
          </w:p>
        </w:tc>
        <w:tc>
          <w:tcPr>
            <w:tcW w:type="dxa" w:w="3096"/>
            <w:vAlign w:val="center"/>
            <w:shd w:fill="17365D"/>
            <w:tcBorders>
              <w:top w:val="single" w:sz="4" w:color="D7DEE8"/>
              <w:left w:val="single" w:sz="4" w:color="D7DEE8"/>
              <w:bottom w:val="single" w:sz="4" w:color="D7DEE8"/>
              <w:right w:val="single" w:sz="4" w:color="D7DEE8"/>
            </w:tcBorders>
          </w:tcPr>
          <w:p>
            <w:r>
              <w:rPr>
                <w:b/>
                <w:color w:val="FFFFFF"/>
                <w:sz w:val="16"/>
              </w:rPr>
              <w:t>Expected timing</w:t>
            </w:r>
          </w:p>
        </w:tc>
        <w:tc>
          <w:tcPr>
            <w:tcW w:type="dxa" w:w="3888"/>
            <w:vAlign w:val="center"/>
            <w:shd w:fill="17365D"/>
            <w:tcBorders>
              <w:top w:val="single" w:sz="4" w:color="D7DEE8"/>
              <w:left w:val="single" w:sz="4" w:color="D7DEE8"/>
              <w:bottom w:val="single" w:sz="4" w:color="D7DEE8"/>
              <w:right w:val="single" w:sz="4" w:color="D7DEE8"/>
            </w:tcBorders>
          </w:tcPr>
          <w:p>
            <w:r>
              <w:rPr>
                <w:b/>
                <w:color w:val="FFFFFF"/>
                <w:sz w:val="16"/>
              </w:rPr>
              <w:t>NTM forecast period</w:t>
            </w:r>
          </w:p>
        </w:tc>
      </w:tr>
      <w:tr>
        <w:trPr>
          <w:cantSplit/>
        </w:trPr>
        <w:tc>
          <w:tcPr>
            <w:tcW w:type="dxa" w:w="3024"/>
            <w:vAlign w:val="center"/>
            <w:tcBorders>
              <w:top w:val="single" w:sz="4" w:color="D7DEE8"/>
              <w:left w:val="single" w:sz="4" w:color="D7DEE8"/>
              <w:bottom w:val="single" w:sz="4" w:color="D7DEE8"/>
              <w:right w:val="single" w:sz="4" w:color="D7DEE8"/>
            </w:tcBorders>
          </w:tcPr>
          <w:p>
            <w:pPr>
              <w:spacing w:after="0"/>
            </w:pPr>
            <w:r>
              <w:rPr>
                <w:sz w:val="16"/>
              </w:rPr>
              <w:t>FY27 Q1 release</w:t>
            </w:r>
          </w:p>
        </w:tc>
        <w:tc>
          <w:tcPr>
            <w:tcW w:type="dxa" w:w="3096"/>
            <w:vAlign w:val="center"/>
            <w:tcBorders>
              <w:top w:val="single" w:sz="4" w:color="D7DEE8"/>
              <w:left w:val="single" w:sz="4" w:color="D7DEE8"/>
              <w:bottom w:val="single" w:sz="4" w:color="D7DEE8"/>
              <w:right w:val="single" w:sz="4" w:color="D7DEE8"/>
            </w:tcBorders>
          </w:tcPr>
          <w:p>
            <w:pPr>
              <w:spacing w:after="0"/>
            </w:pPr>
            <w:r>
              <w:rPr>
                <w:sz w:val="16"/>
              </w:rPr>
              <w:t>September 10, 2026</w:t>
            </w:r>
          </w:p>
        </w:tc>
        <w:tc>
          <w:tcPr>
            <w:tcW w:type="dxa" w:w="3888"/>
            <w:vAlign w:val="center"/>
            <w:tcBorders>
              <w:top w:val="single" w:sz="4" w:color="D7DEE8"/>
              <w:left w:val="single" w:sz="4" w:color="D7DEE8"/>
              <w:bottom w:val="single" w:sz="4" w:color="D7DEE8"/>
              <w:right w:val="single" w:sz="4" w:color="D7DEE8"/>
            </w:tcBorders>
          </w:tcPr>
          <w:p>
            <w:pPr>
              <w:spacing w:after="0"/>
            </w:pPr>
            <w:r>
              <w:rPr>
                <w:sz w:val="16"/>
              </w:rPr>
              <w:t>FY27 Q2 through FY28 Q1</w:t>
            </w:r>
          </w:p>
        </w:tc>
      </w:tr>
      <w:tr>
        <w:trPr>
          <w:cantSplit/>
        </w:trPr>
        <w:tc>
          <w:tcPr>
            <w:tcW w:type="dxa" w:w="3024"/>
            <w:vAlign w:val="center"/>
            <w:shd w:fill="EEF5FB"/>
            <w:tcBorders>
              <w:top w:val="single" w:sz="4" w:color="D7DEE8"/>
              <w:left w:val="single" w:sz="4" w:color="D7DEE8"/>
              <w:bottom w:val="single" w:sz="4" w:color="D7DEE8"/>
              <w:right w:val="single" w:sz="4" w:color="D7DEE8"/>
            </w:tcBorders>
          </w:tcPr>
          <w:p>
            <w:pPr>
              <w:spacing w:after="0"/>
            </w:pPr>
            <w:r>
              <w:rPr>
                <w:sz w:val="16"/>
              </w:rPr>
              <w:t>FY27 Q2 release</w:t>
            </w:r>
          </w:p>
        </w:tc>
        <w:tc>
          <w:tcPr>
            <w:tcW w:type="dxa" w:w="3096"/>
            <w:vAlign w:val="center"/>
            <w:shd w:fill="EEF5FB"/>
            <w:tcBorders>
              <w:top w:val="single" w:sz="4" w:color="D7DEE8"/>
              <w:left w:val="single" w:sz="4" w:color="D7DEE8"/>
              <w:bottom w:val="single" w:sz="4" w:color="D7DEE8"/>
              <w:right w:val="single" w:sz="4" w:color="D7DEE8"/>
            </w:tcBorders>
          </w:tcPr>
          <w:p>
            <w:pPr>
              <w:spacing w:after="0"/>
            </w:pPr>
            <w:r>
              <w:rPr>
                <w:sz w:val="16"/>
              </w:rPr>
              <w:t>Estimated December 2026</w:t>
            </w:r>
          </w:p>
        </w:tc>
        <w:tc>
          <w:tcPr>
            <w:tcW w:type="dxa" w:w="3888"/>
            <w:vAlign w:val="center"/>
            <w:shd w:fill="EEF5FB"/>
            <w:tcBorders>
              <w:top w:val="single" w:sz="4" w:color="D7DEE8"/>
              <w:left w:val="single" w:sz="4" w:color="D7DEE8"/>
              <w:bottom w:val="single" w:sz="4" w:color="D7DEE8"/>
              <w:right w:val="single" w:sz="4" w:color="D7DEE8"/>
            </w:tcBorders>
          </w:tcPr>
          <w:p>
            <w:pPr>
              <w:spacing w:after="0"/>
            </w:pPr>
            <w:r>
              <w:rPr>
                <w:sz w:val="16"/>
              </w:rPr>
              <w:t>FY27 Q3 through FY28 Q2</w:t>
            </w:r>
          </w:p>
        </w:tc>
      </w:tr>
      <w:tr>
        <w:trPr>
          <w:cantSplit/>
        </w:trPr>
        <w:tc>
          <w:tcPr>
            <w:tcW w:type="dxa" w:w="3024"/>
            <w:vAlign w:val="center"/>
            <w:tcBorders>
              <w:top w:val="single" w:sz="4" w:color="D7DEE8"/>
              <w:left w:val="single" w:sz="4" w:color="D7DEE8"/>
              <w:bottom w:val="single" w:sz="4" w:color="D7DEE8"/>
              <w:right w:val="single" w:sz="4" w:color="D7DEE8"/>
            </w:tcBorders>
          </w:tcPr>
          <w:p>
            <w:pPr>
              <w:spacing w:after="0"/>
            </w:pPr>
            <w:r>
              <w:rPr>
                <w:sz w:val="16"/>
              </w:rPr>
              <w:t>FY27 Q3 release</w:t>
            </w:r>
          </w:p>
        </w:tc>
        <w:tc>
          <w:tcPr>
            <w:tcW w:type="dxa" w:w="3096"/>
            <w:vAlign w:val="center"/>
            <w:tcBorders>
              <w:top w:val="single" w:sz="4" w:color="D7DEE8"/>
              <w:left w:val="single" w:sz="4" w:color="D7DEE8"/>
              <w:bottom w:val="single" w:sz="4" w:color="D7DEE8"/>
              <w:right w:val="single" w:sz="4" w:color="D7DEE8"/>
            </w:tcBorders>
          </w:tcPr>
          <w:p>
            <w:pPr>
              <w:spacing w:after="0"/>
            </w:pPr>
            <w:r>
              <w:rPr>
                <w:sz w:val="16"/>
              </w:rPr>
              <w:t>Estimated March 2027</w:t>
            </w:r>
          </w:p>
        </w:tc>
        <w:tc>
          <w:tcPr>
            <w:tcW w:type="dxa" w:w="3888"/>
            <w:vAlign w:val="center"/>
            <w:tcBorders>
              <w:top w:val="single" w:sz="4" w:color="D7DEE8"/>
              <w:left w:val="single" w:sz="4" w:color="D7DEE8"/>
              <w:bottom w:val="single" w:sz="4" w:color="D7DEE8"/>
              <w:right w:val="single" w:sz="4" w:color="D7DEE8"/>
            </w:tcBorders>
          </w:tcPr>
          <w:p>
            <w:pPr>
              <w:spacing w:after="0"/>
            </w:pPr>
            <w:r>
              <w:rPr>
                <w:sz w:val="16"/>
              </w:rPr>
              <w:t>FY27 Q4 through FY28 Q3</w:t>
            </w:r>
          </w:p>
        </w:tc>
      </w:tr>
      <w:tr>
        <w:trPr>
          <w:cantSplit/>
        </w:trPr>
        <w:tc>
          <w:tcPr>
            <w:tcW w:type="dxa" w:w="3024"/>
            <w:vAlign w:val="center"/>
            <w:shd w:fill="EEF5FB"/>
            <w:tcBorders>
              <w:top w:val="single" w:sz="4" w:color="D7DEE8"/>
              <w:left w:val="single" w:sz="4" w:color="D7DEE8"/>
              <w:bottom w:val="single" w:sz="4" w:color="D7DEE8"/>
              <w:right w:val="single" w:sz="4" w:color="D7DEE8"/>
            </w:tcBorders>
          </w:tcPr>
          <w:p>
            <w:pPr>
              <w:spacing w:after="0"/>
            </w:pPr>
            <w:r>
              <w:rPr>
                <w:sz w:val="16"/>
              </w:rPr>
              <w:t>FY27 Q4 release</w:t>
            </w:r>
          </w:p>
        </w:tc>
        <w:tc>
          <w:tcPr>
            <w:tcW w:type="dxa" w:w="3096"/>
            <w:vAlign w:val="center"/>
            <w:shd w:fill="EEF5FB"/>
            <w:tcBorders>
              <w:top w:val="single" w:sz="4" w:color="D7DEE8"/>
              <w:left w:val="single" w:sz="4" w:color="D7DEE8"/>
              <w:bottom w:val="single" w:sz="4" w:color="D7DEE8"/>
              <w:right w:val="single" w:sz="4" w:color="D7DEE8"/>
            </w:tcBorders>
          </w:tcPr>
          <w:p>
            <w:pPr>
              <w:spacing w:after="0"/>
            </w:pPr>
            <w:r>
              <w:rPr>
                <w:sz w:val="16"/>
              </w:rPr>
              <w:t>Estimated June 2027</w:t>
            </w:r>
          </w:p>
        </w:tc>
        <w:tc>
          <w:tcPr>
            <w:tcW w:type="dxa" w:w="3888"/>
            <w:vAlign w:val="center"/>
            <w:shd w:fill="EEF5FB"/>
            <w:tcBorders>
              <w:top w:val="single" w:sz="4" w:color="D7DEE8"/>
              <w:left w:val="single" w:sz="4" w:color="D7DEE8"/>
              <w:bottom w:val="single" w:sz="4" w:color="D7DEE8"/>
              <w:right w:val="single" w:sz="4" w:color="D7DEE8"/>
            </w:tcBorders>
          </w:tcPr>
          <w:p>
            <w:pPr>
              <w:spacing w:after="0"/>
            </w:pPr>
            <w:r>
              <w:rPr>
                <w:sz w:val="16"/>
              </w:rPr>
              <w:t>FY28 Q1 through FY28 Q4</w:t>
            </w:r>
          </w:p>
        </w:tc>
      </w:tr>
    </w:tbl>
    <w:p>
      <w:pPr>
        <w:spacing w:after="20"/>
      </w:pPr>
    </w:p>
    <w:p>
      <w:pPr>
        <w:pStyle w:val="ExecutiveBullet"/>
      </w:pPr>
      <w:r>
        <w:rPr>
          <w:b/>
          <w:color w:val="2F5597"/>
        </w:rPr>
        <w:t xml:space="preserve">1. </w:t>
      </w:r>
      <w:r>
        <w:t>Replace the completed quarter with actual results.</w:t>
      </w:r>
    </w:p>
    <w:p>
      <w:pPr>
        <w:pStyle w:val="ExecutiveBullet"/>
      </w:pPr>
      <w:r>
        <w:rPr>
          <w:b/>
          <w:color w:val="2F5597"/>
        </w:rPr>
        <w:t xml:space="preserve">2. </w:t>
      </w:r>
      <w:r>
        <w:t>Reforecast the remaining seven quarters.</w:t>
      </w:r>
    </w:p>
    <w:p>
      <w:pPr>
        <w:pStyle w:val="ExecutiveBullet"/>
      </w:pPr>
      <w:r>
        <w:rPr>
          <w:b/>
          <w:color w:val="2F5597"/>
        </w:rPr>
        <w:t xml:space="preserve">3. </w:t>
      </w:r>
      <w:r>
        <w:t>Recompute next-twelve-month metrics.</w:t>
      </w:r>
    </w:p>
    <w:p>
      <w:pPr>
        <w:pStyle w:val="ExecutiveBullet"/>
      </w:pPr>
      <w:r>
        <w:rPr>
          <w:b/>
          <w:color w:val="2F5597"/>
        </w:rPr>
        <w:t xml:space="preserve">4. </w:t>
      </w:r>
      <w:r>
        <w:t>Update debt, cash, leases and shares.</w:t>
      </w:r>
    </w:p>
    <w:p>
      <w:pPr>
        <w:pStyle w:val="ExecutiveBullet"/>
      </w:pPr>
      <w:r>
        <w:rPr>
          <w:b/>
          <w:color w:val="2F5597"/>
        </w:rPr>
        <w:t xml:space="preserve">5. </w:t>
      </w:r>
      <w:r>
        <w:t>Adjust the scenario multiple based on milestone achievement.</w:t>
      </w:r>
    </w:p>
    <w:p>
      <w:pPr>
        <w:pStyle w:val="ExecutiveBullet"/>
      </w:pPr>
      <w:r>
        <w:rPr>
          <w:b/>
          <w:color w:val="2F5597"/>
        </w:rPr>
        <w:t xml:space="preserve">6. </w:t>
      </w:r>
      <w:r>
        <w:t>Calculate a new per-share target.</w:t>
      </w:r>
    </w:p>
    <w:p>
      <w:pPr>
        <w:pStyle w:val="Heading1"/>
      </w:pPr>
      <w:r>
        <w:t>15. Enterprise-to-equity formulas</w:t>
      </w:r>
    </w:p>
    <w:p>
      <w:pPr>
        <w:pStyle w:val="Heading2"/>
      </w:pPr>
      <w:r>
        <w:t>EV/EBITDA method</w:t>
      </w:r>
    </w:p>
    <w:p>
      <w:pPr>
        <w:pStyle w:val="Formula"/>
      </w:pPr>
      <w:r>
        <w:t>Target Enterprise Value_d,s = NTM EBITDA_d,s × Target Multiple_d,s</w:t>
      </w:r>
      <w:r>
        <w:br/>
      </w:r>
    </w:p>
    <w:p>
      <w:pPr>
        <w:pStyle w:val="Heading2"/>
      </w:pPr>
      <w:r>
        <w:t>Enterprise value to equity value</w:t>
      </w:r>
    </w:p>
    <w:p>
      <w:pPr>
        <w:pStyle w:val="Formula"/>
      </w:pPr>
      <w:r>
        <w:t>Equity Value = Enterprise Value − Gross Debt − Lease Liabilities − Preferred Equity − Noncontrolling Interests</w:t>
      </w:r>
      <w:r>
        <w:br/>
      </w:r>
      <w:r>
        <w:t>+ Cash + Marketable Securities + Nonoperating Investments</w:t>
      </w:r>
    </w:p>
    <w:p>
      <w:r>
        <w:t>Include lease liabilities only if the peer multiples and enterprise values use the same convention.</w:t>
      </w:r>
    </w:p>
    <w:p>
      <w:pPr>
        <w:pStyle w:val="Heading2"/>
      </w:pPr>
      <w:r>
        <w:t>Equity value to diluted per-share value</w:t>
      </w:r>
    </w:p>
    <w:p>
      <w:pPr>
        <w:pStyle w:val="Formula"/>
      </w:pPr>
      <w:r>
        <w:t>Diluted Value per Share = Equity Value ÷ Fully Diluted Shares</w:t>
      </w:r>
      <w:r>
        <w:br/>
      </w:r>
    </w:p>
    <w:p>
      <w:pPr>
        <w:pStyle w:val="Formula"/>
      </w:pPr>
      <w:r>
        <w:t>Fully Diluted Shares = Basic Shares + RSUs/Options + ATM Shares + Mandatory Convertible Shares + Other Dilutive Securities</w:t>
      </w:r>
      <w:r>
        <w:br/>
      </w:r>
    </w:p>
    <w:p>
      <w:pPr>
        <w:pStyle w:val="Heading2"/>
      </w:pPr>
      <w:r>
        <w:t>Preferred-security treatment</w:t>
      </w:r>
    </w:p>
    <w:tbl>
      <w:tblPr>
        <w:tblStyle w:val="TableGrid"/>
        <w:tblW w:type="auto" w:w="0"/>
        <w:jc w:val="center"/>
        <w:tblLayout w:type="fixed"/>
        <w:tblLook w:firstColumn="1" w:firstRow="1" w:lastColumn="0" w:lastRow="0" w:noHBand="0" w:noVBand="1" w:val="04A0"/>
      </w:tblPr>
      <w:tblGrid>
        <w:gridCol w:w="5083"/>
        <w:gridCol w:w="5083"/>
      </w:tblGrid>
      <w:tr>
        <w:trPr>
          <w:cantSplit/>
        </w:trPr>
        <w:tc>
          <w:tcPr>
            <w:tcW w:type="dxa" w:w="2232"/>
            <w:vAlign w:val="center"/>
            <w:shd w:fill="17365D"/>
            <w:tcBorders>
              <w:top w:val="single" w:sz="4" w:color="D7DEE8"/>
              <w:left w:val="single" w:sz="4" w:color="D7DEE8"/>
              <w:bottom w:val="single" w:sz="4" w:color="D7DEE8"/>
              <w:right w:val="single" w:sz="4" w:color="D7DEE8"/>
            </w:tcBorders>
          </w:tcPr>
          <w:p>
            <w:r>
              <w:rPr>
                <w:b/>
                <w:color w:val="FFFFFF"/>
                <w:sz w:val="16"/>
              </w:rPr>
              <w:t>Method</w:t>
            </w:r>
          </w:p>
        </w:tc>
        <w:tc>
          <w:tcPr>
            <w:tcW w:type="dxa" w:w="7560"/>
            <w:vAlign w:val="center"/>
            <w:shd w:fill="17365D"/>
            <w:tcBorders>
              <w:top w:val="single" w:sz="4" w:color="D7DEE8"/>
              <w:left w:val="single" w:sz="4" w:color="D7DEE8"/>
              <w:bottom w:val="single" w:sz="4" w:color="D7DEE8"/>
              <w:right w:val="single" w:sz="4" w:color="D7DEE8"/>
            </w:tcBorders>
          </w:tcPr>
          <w:p>
            <w:r>
              <w:rPr>
                <w:b/>
                <w:color w:val="FFFFFF"/>
                <w:sz w:val="16"/>
              </w:rPr>
              <w:t>Treatment</w:t>
            </w:r>
          </w:p>
        </w:tc>
      </w:tr>
      <w:tr>
        <w:trPr>
          <w:cantSplit/>
        </w:trPr>
        <w:tc>
          <w:tcPr>
            <w:tcW w:type="dxa" w:w="2232"/>
            <w:vAlign w:val="center"/>
            <w:tcBorders>
              <w:top w:val="single" w:sz="4" w:color="D7DEE8"/>
              <w:left w:val="single" w:sz="4" w:color="D7DEE8"/>
              <w:bottom w:val="single" w:sz="4" w:color="D7DEE8"/>
              <w:right w:val="single" w:sz="4" w:color="D7DEE8"/>
            </w:tcBorders>
          </w:tcPr>
          <w:p>
            <w:pPr>
              <w:spacing w:after="0"/>
            </w:pPr>
            <w:r>
              <w:rPr>
                <w:sz w:val="16"/>
              </w:rPr>
              <w:t>Debt-like</w:t>
            </w:r>
          </w:p>
        </w:tc>
        <w:tc>
          <w:tcPr>
            <w:tcW w:type="dxa" w:w="7560"/>
            <w:vAlign w:val="center"/>
            <w:tcBorders>
              <w:top w:val="single" w:sz="4" w:color="D7DEE8"/>
              <w:left w:val="single" w:sz="4" w:color="D7DEE8"/>
              <w:bottom w:val="single" w:sz="4" w:color="D7DEE8"/>
              <w:right w:val="single" w:sz="4" w:color="D7DEE8"/>
            </w:tcBorders>
          </w:tcPr>
          <w:p>
            <w:pPr>
              <w:spacing w:after="0"/>
            </w:pPr>
            <w:r>
              <w:rPr>
                <w:sz w:val="16"/>
              </w:rPr>
              <w:t>Subtract preferred liquidation preference; exclude conversion shares; include preferred dividends in common income.</w:t>
            </w:r>
          </w:p>
        </w:tc>
      </w:tr>
      <w:tr>
        <w:trPr>
          <w:cantSplit/>
        </w:trPr>
        <w:tc>
          <w:tcPr>
            <w:tcW w:type="dxa" w:w="2232"/>
            <w:vAlign w:val="center"/>
            <w:shd w:fill="EEF5FB"/>
            <w:tcBorders>
              <w:top w:val="single" w:sz="4" w:color="D7DEE8"/>
              <w:left w:val="single" w:sz="4" w:color="D7DEE8"/>
              <w:bottom w:val="single" w:sz="4" w:color="D7DEE8"/>
              <w:right w:val="single" w:sz="4" w:color="D7DEE8"/>
            </w:tcBorders>
          </w:tcPr>
          <w:p>
            <w:pPr>
              <w:spacing w:after="0"/>
            </w:pPr>
            <w:r>
              <w:rPr>
                <w:sz w:val="16"/>
              </w:rPr>
              <w:t>As-converted</w:t>
            </w:r>
          </w:p>
        </w:tc>
        <w:tc>
          <w:tcPr>
            <w:tcW w:type="dxa" w:w="7560"/>
            <w:vAlign w:val="center"/>
            <w:shd w:fill="EEF5FB"/>
            <w:tcBorders>
              <w:top w:val="single" w:sz="4" w:color="D7DEE8"/>
              <w:left w:val="single" w:sz="4" w:color="D7DEE8"/>
              <w:bottom w:val="single" w:sz="4" w:color="D7DEE8"/>
              <w:right w:val="single" w:sz="4" w:color="D7DEE8"/>
            </w:tcBorders>
          </w:tcPr>
          <w:p>
            <w:pPr>
              <w:spacing w:after="0"/>
            </w:pPr>
            <w:r>
              <w:rPr>
                <w:sz w:val="16"/>
              </w:rPr>
              <w:t>Include expected conversion shares; do not subtract preferred value; remove preferred dividends where accounting permits.</w:t>
            </w:r>
          </w:p>
        </w:tc>
      </w:tr>
    </w:tbl>
    <w:p>
      <w:pPr>
        <w:spacing w:after="20"/>
      </w:pPr>
    </w:p>
    <w:p>
      <w:r>
        <w:t>Do not subtract the preferred value and include all conversion shares simultaneously.</w:t>
      </w:r>
    </w:p>
    <w:p>
      <w:pPr>
        <w:pStyle w:val="Heading2"/>
      </w:pPr>
      <w:r>
        <w:t>P/E method</w:t>
      </w:r>
    </w:p>
    <w:p>
      <w:pPr>
        <w:pStyle w:val="Formula"/>
      </w:pPr>
      <w:r>
        <w:t>Price Target = NTM Diluted Adjusted EPS × Target P/E</w:t>
      </w:r>
      <w:r>
        <w:br/>
      </w:r>
    </w:p>
    <w:p>
      <w:pPr>
        <w:pStyle w:val="Heading2"/>
      </w:pPr>
      <w:r>
        <w:t>SOTP method</w:t>
      </w:r>
    </w:p>
    <w:p>
      <w:pPr>
        <w:pStyle w:val="Formula"/>
      </w:pPr>
      <w:r>
        <w:t>Enterprise Value = OCI Value + Applications Value + Support/License Value + Hardware/Services Value − PV of Corporate Costs</w:t>
      </w:r>
      <w:r>
        <w:br/>
      </w:r>
    </w:p>
    <w:p>
      <w:pPr>
        <w:pStyle w:val="Heading1"/>
      </w:pPr>
      <w:r>
        <w:t>16. Unresolved questions</w:t>
      </w:r>
    </w:p>
    <w:p>
      <w:pPr>
        <w:pStyle w:val="ExecutiveBullet"/>
      </w:pPr>
      <w:r>
        <w:rPr>
          <w:b/>
          <w:color w:val="2F5597"/>
        </w:rPr>
        <w:t xml:space="preserve">1. </w:t>
      </w:r>
      <w:r>
        <w:t>What percentage of RPO relates to each major customer?</w:t>
      </w:r>
    </w:p>
    <w:p>
      <w:pPr>
        <w:pStyle w:val="ExecutiveBullet"/>
      </w:pPr>
      <w:r>
        <w:rPr>
          <w:b/>
          <w:color w:val="2F5597"/>
        </w:rPr>
        <w:t xml:space="preserve">2. </w:t>
      </w:r>
      <w:r>
        <w:t>What percentage of RPO relates to OCI, applications, hardware and other offerings?</w:t>
      </w:r>
    </w:p>
    <w:p>
      <w:pPr>
        <w:pStyle w:val="ExecutiveBullet"/>
      </w:pPr>
      <w:r>
        <w:rPr>
          <w:b/>
          <w:color w:val="2F5597"/>
        </w:rPr>
        <w:t xml:space="preserve">3. </w:t>
      </w:r>
      <w:r>
        <w:t>What termination, modification and minimum-usage rights exist in the largest contracts?</w:t>
      </w:r>
    </w:p>
    <w:p>
      <w:pPr>
        <w:pStyle w:val="ExecutiveBullet"/>
      </w:pPr>
      <w:r>
        <w:rPr>
          <w:b/>
          <w:color w:val="2F5597"/>
        </w:rPr>
        <w:t xml:space="preserve">4. </w:t>
      </w:r>
      <w:r>
        <w:t>What customer prepayments, guarantees or collateral secure the largest commitments?</w:t>
      </w:r>
    </w:p>
    <w:p>
      <w:pPr>
        <w:pStyle w:val="ExecutiveBullet"/>
      </w:pPr>
      <w:r>
        <w:rPr>
          <w:b/>
          <w:color w:val="2F5597"/>
        </w:rPr>
        <w:t xml:space="preserve">5. </w:t>
      </w:r>
      <w:r>
        <w:t>What are the exact in-service dates for major data-center sites?</w:t>
      </w:r>
    </w:p>
    <w:p>
      <w:pPr>
        <w:pStyle w:val="ExecutiveBullet"/>
      </w:pPr>
      <w:r>
        <w:rPr>
          <w:b/>
          <w:color w:val="2F5597"/>
        </w:rPr>
        <w:t xml:space="preserve">6. </w:t>
      </w:r>
      <w:r>
        <w:t>How much capacity is mechanically complete but awaiting power or customer acceptance?</w:t>
      </w:r>
    </w:p>
    <w:p>
      <w:pPr>
        <w:pStyle w:val="ExecutiveBullet"/>
      </w:pPr>
      <w:r>
        <w:rPr>
          <w:b/>
          <w:color w:val="2F5597"/>
        </w:rPr>
        <w:t xml:space="preserve">7. </w:t>
      </w:r>
      <w:r>
        <w:t>What is OCI revenue per megawatt, GPU or equivalent capacity unit?</w:t>
      </w:r>
    </w:p>
    <w:p>
      <w:pPr>
        <w:pStyle w:val="ExecutiveBullet"/>
      </w:pPr>
      <w:r>
        <w:rPr>
          <w:b/>
          <w:color w:val="2F5597"/>
        </w:rPr>
        <w:t xml:space="preserve">8. </w:t>
      </w:r>
      <w:r>
        <w:t>What is the utilization ramp for a new facility during its first four quarters?</w:t>
      </w:r>
    </w:p>
    <w:p>
      <w:pPr>
        <w:pStyle w:val="ExecutiveBullet"/>
      </w:pPr>
      <w:r>
        <w:rPr>
          <w:b/>
          <w:color w:val="2F5597"/>
        </w:rPr>
        <w:t xml:space="preserve">9. </w:t>
      </w:r>
      <w:r>
        <w:t>How does gross margin differ among AI GPU infrastructure, database cloud, multicloud and traditional OCI?</w:t>
      </w:r>
    </w:p>
    <w:p>
      <w:pPr>
        <w:pStyle w:val="ExecutiveBullet"/>
      </w:pPr>
      <w:r>
        <w:rPr>
          <w:b/>
          <w:color w:val="2F5597"/>
        </w:rPr>
        <w:t xml:space="preserve">10. </w:t>
      </w:r>
      <w:r>
        <w:t>How is customer-supplied hardware recognized for accounting and depreciation purposes?</w:t>
      </w:r>
    </w:p>
    <w:p>
      <w:pPr>
        <w:pStyle w:val="ExecutiveBullet"/>
      </w:pPr>
      <w:r>
        <w:rPr>
          <w:b/>
          <w:color w:val="2F5597"/>
        </w:rPr>
        <w:t xml:space="preserve">11. </w:t>
      </w:r>
      <w:r>
        <w:t>What portion of the $90 billion FY27 revenue target is expected from OCI?</w:t>
      </w:r>
    </w:p>
    <w:p>
      <w:pPr>
        <w:pStyle w:val="ExecutiveBullet"/>
      </w:pPr>
      <w:r>
        <w:rPr>
          <w:b/>
          <w:color w:val="2F5597"/>
        </w:rPr>
        <w:t xml:space="preserve">12. </w:t>
      </w:r>
      <w:r>
        <w:t>What is management’s internal FY27 applications-growth assumption?</w:t>
      </w:r>
    </w:p>
    <w:p>
      <w:pPr>
        <w:pStyle w:val="ExecutiveBullet"/>
      </w:pPr>
      <w:r>
        <w:rPr>
          <w:b/>
          <w:color w:val="2F5597"/>
        </w:rPr>
        <w:t xml:space="preserve">13. </w:t>
      </w:r>
      <w:r>
        <w:t>How much gross capex is funded by prepayments, BYOH and short-term financing?</w:t>
      </w:r>
    </w:p>
    <w:p>
      <w:pPr>
        <w:pStyle w:val="ExecutiveBullet"/>
      </w:pPr>
      <w:r>
        <w:rPr>
          <w:b/>
          <w:color w:val="2F5597"/>
        </w:rPr>
        <w:t xml:space="preserve">14. </w:t>
      </w:r>
      <w:r>
        <w:t>What percentage of FY27 capex will remain in construction in progress at year-end?</w:t>
      </w:r>
    </w:p>
    <w:p>
      <w:pPr>
        <w:pStyle w:val="ExecutiveBullet"/>
      </w:pPr>
      <w:r>
        <w:rPr>
          <w:b/>
          <w:color w:val="2F5597"/>
        </w:rPr>
        <w:t xml:space="preserve">15. </w:t>
      </w:r>
      <w:r>
        <w:t>What useful lives will Oracle apply to GPUs, servers, network equipment and data-center infrastructure?</w:t>
      </w:r>
    </w:p>
    <w:p>
      <w:pPr>
        <w:pStyle w:val="ExecutiveBullet"/>
      </w:pPr>
      <w:r>
        <w:rPr>
          <w:b/>
          <w:color w:val="2F5597"/>
        </w:rPr>
        <w:t xml:space="preserve">16. </w:t>
      </w:r>
      <w:r>
        <w:t>When will committed but uncommenced leases enter the balance sheet?</w:t>
      </w:r>
    </w:p>
    <w:p>
      <w:pPr>
        <w:pStyle w:val="ExecutiveBullet"/>
      </w:pPr>
      <w:r>
        <w:rPr>
          <w:b/>
          <w:color w:val="2F5597"/>
        </w:rPr>
        <w:t xml:space="preserve">17. </w:t>
      </w:r>
      <w:r>
        <w:t>What is the present value of long-term data-center lease commitments?</w:t>
      </w:r>
    </w:p>
    <w:p>
      <w:pPr>
        <w:pStyle w:val="ExecutiveBullet"/>
      </w:pPr>
      <w:r>
        <w:rPr>
          <w:b/>
          <w:color w:val="2F5597"/>
        </w:rPr>
        <w:t xml:space="preserve">18. </w:t>
      </w:r>
      <w:r>
        <w:t>What percentage of future capex represents maintenance rather than growth?</w:t>
      </w:r>
    </w:p>
    <w:p>
      <w:pPr>
        <w:pStyle w:val="ExecutiveBullet"/>
      </w:pPr>
      <w:r>
        <w:rPr>
          <w:b/>
          <w:color w:val="2F5597"/>
        </w:rPr>
        <w:t xml:space="preserve">19. </w:t>
      </w:r>
      <w:r>
        <w:t>What is Oracle’s sustainable capex level after the current build?</w:t>
      </w:r>
    </w:p>
    <w:p>
      <w:pPr>
        <w:pStyle w:val="ExecutiveBullet"/>
      </w:pPr>
      <w:r>
        <w:rPr>
          <w:b/>
          <w:color w:val="2F5597"/>
        </w:rPr>
        <w:t xml:space="preserve">20. </w:t>
      </w:r>
      <w:r>
        <w:t>At what price and pace will Oracle execute the ATM program?</w:t>
      </w:r>
    </w:p>
    <w:p>
      <w:pPr>
        <w:pStyle w:val="ExecutiveBullet"/>
      </w:pPr>
      <w:r>
        <w:rPr>
          <w:b/>
          <w:color w:val="2F5597"/>
        </w:rPr>
        <w:t xml:space="preserve">21. </w:t>
      </w:r>
      <w:r>
        <w:t>How should the mandatory convertible be treated in quarterly diluted EPS?</w:t>
      </w:r>
    </w:p>
    <w:p>
      <w:pPr>
        <w:pStyle w:val="ExecutiveBullet"/>
      </w:pPr>
      <w:r>
        <w:rPr>
          <w:b/>
          <w:color w:val="2F5597"/>
        </w:rPr>
        <w:t xml:space="preserve">22. </w:t>
      </w:r>
      <w:r>
        <w:t>What debt instruments will fund FY27, and at what coupons and maturities?</w:t>
      </w:r>
    </w:p>
    <w:p>
      <w:pPr>
        <w:pStyle w:val="ExecutiveBullet"/>
      </w:pPr>
      <w:r>
        <w:rPr>
          <w:b/>
          <w:color w:val="2F5597"/>
        </w:rPr>
        <w:t xml:space="preserve">23. </w:t>
      </w:r>
      <w:r>
        <w:t>How much interest will be capitalized rather than expensed?</w:t>
      </w:r>
    </w:p>
    <w:p>
      <w:pPr>
        <w:pStyle w:val="ExecutiveBullet"/>
      </w:pPr>
      <w:r>
        <w:rPr>
          <w:b/>
          <w:color w:val="2F5597"/>
        </w:rPr>
        <w:t xml:space="preserve">24. </w:t>
      </w:r>
      <w:r>
        <w:t>What is the sustainable effective tax rate?</w:t>
      </w:r>
    </w:p>
    <w:p>
      <w:pPr>
        <w:pStyle w:val="ExecutiveBullet"/>
      </w:pPr>
      <w:r>
        <w:rPr>
          <w:b/>
          <w:color w:val="2F5597"/>
        </w:rPr>
        <w:t xml:space="preserve">25. </w:t>
      </w:r>
      <w:r>
        <w:t>How much more restructuring is required to hold operating costs down?</w:t>
      </w:r>
    </w:p>
    <w:p>
      <w:pPr>
        <w:pStyle w:val="ExecutiveBullet"/>
      </w:pPr>
      <w:r>
        <w:rPr>
          <w:b/>
          <w:color w:val="2F5597"/>
        </w:rPr>
        <w:t xml:space="preserve">26. </w:t>
      </w:r>
      <w:r>
        <w:t>Could workforce reductions impair infrastructure deployment or application implementations?</w:t>
      </w:r>
    </w:p>
    <w:p>
      <w:pPr>
        <w:pStyle w:val="ExecutiveBullet"/>
      </w:pPr>
      <w:r>
        <w:rPr>
          <w:b/>
          <w:color w:val="2F5597"/>
        </w:rPr>
        <w:t xml:space="preserve">27. </w:t>
      </w:r>
      <w:r>
        <w:t>What are Oracle Health’s revenue growth, gross margin and operating profitability?</w:t>
      </w:r>
    </w:p>
    <w:p>
      <w:pPr>
        <w:pStyle w:val="ExecutiveBullet"/>
      </w:pPr>
      <w:r>
        <w:rPr>
          <w:b/>
          <w:color w:val="2F5597"/>
        </w:rPr>
        <w:t xml:space="preserve">28. </w:t>
      </w:r>
      <w:r>
        <w:t>Will support revenue remain stable as customers move to cloud products?</w:t>
      </w:r>
    </w:p>
    <w:p>
      <w:pPr>
        <w:pStyle w:val="ExecutiveBullet"/>
      </w:pPr>
      <w:r>
        <w:rPr>
          <w:b/>
          <w:color w:val="2F5597"/>
        </w:rPr>
        <w:t xml:space="preserve">29. </w:t>
      </w:r>
      <w:r>
        <w:t>How much nonoperating investment value should be included in equity value?</w:t>
      </w:r>
    </w:p>
    <w:p>
      <w:pPr>
        <w:pStyle w:val="ExecutiveBullet"/>
      </w:pPr>
      <w:r>
        <w:rPr>
          <w:b/>
          <w:color w:val="2F5597"/>
        </w:rPr>
        <w:t xml:space="preserve">30. </w:t>
      </w:r>
      <w:r>
        <w:t>What quarterly OCI, applications, margin, capex and EPS expectations are embedded in live institutional consensus?</w:t>
      </w:r>
    </w:p>
    <w:p>
      <w:pPr>
        <w:pStyle w:val="Heading1"/>
      </w:pPr>
      <w:r>
        <w:t>Bottom line</w:t>
      </w:r>
    </w:p>
    <w:tbl>
      <w:tblPr>
        <w:tblW w:type="auto" w:w="0"/>
        <w:jc w:val="center"/>
        <w:tblLook w:firstColumn="1" w:firstRow="1" w:lastColumn="0" w:lastRow="0" w:noHBand="0" w:noVBand="1" w:val="04A0"/>
      </w:tblPr>
      <w:tblGrid>
        <w:gridCol w:w="10166"/>
      </w:tblGrid>
      <w:tr>
        <w:trPr>
          <w:cantSplit/>
        </w:trPr>
        <w:tc>
          <w:tcPr>
            <w:tcW w:type="dxa" w:w="10166"/>
            <w:shd w:fill="E8F3EC"/>
            <w:tcBorders>
              <w:top w:val="single" w:sz="10" w:color="2F6B4F"/>
              <w:left w:val="single" w:sz="10" w:color="2F6B4F"/>
              <w:bottom w:val="single" w:sz="10" w:color="2F6B4F"/>
              <w:right w:val="single" w:sz="10" w:color="2F6B4F"/>
            </w:tcBorders>
          </w:tcPr>
          <w:p>
            <w:pPr>
              <w:spacing w:after="60"/>
            </w:pPr>
            <w:r>
              <w:rPr>
                <w:b/>
                <w:color w:val="17365D"/>
                <w:sz w:val="20"/>
              </w:rPr>
              <w:t>The investment question</w:t>
            </w:r>
          </w:p>
          <w:p>
            <w:pPr>
              <w:spacing w:after="20"/>
            </w:pPr>
            <w:r>
              <w:rPr>
                <w:sz w:val="18"/>
              </w:rPr>
              <w:t>The relevant question is not simply whether Oracle can grow OCI rapidly. It is how much durable common-equity value Oracle creates after paying for capacity, depreciation, leases, interest, preferred dividends and common-share dilution.</w:t>
            </w:r>
          </w:p>
        </w:tc>
      </w:tr>
    </w:tbl>
    <w:p>
      <w:pPr>
        <w:spacing w:after="20"/>
      </w:pPr>
    </w:p>
    <w:p>
      <w:r>
        <w:t>The base case should assume Oracle broadly delivers its $90 billion FY27 revenue target, but should not automatically assign a premium multiple. Multiple expansion should require evidence that revenue converts into improving infrastructure margins, falling capital requirements per revenue dollar, credible free-cash-flow inflection and reduced leverage.</w:t>
      </w:r>
    </w:p>
    <w:p>
      <w:pPr>
        <w:pStyle w:val="Heading1"/>
      </w:pPr>
      <w:r>
        <w:t>Source list</w:t>
      </w:r>
    </w:p>
    <w:p>
      <w:pPr>
        <w:pStyle w:val="Small"/>
      </w:pPr>
      <w:r>
        <w:rPr>
          <w:b/>
        </w:rPr>
        <w:t>Oracle FY26 Q4 and full-year results</w:t>
      </w:r>
      <w:r>
        <w:br/>
        <w:t>https://investor.oracle.com/investor-news/news-details/2026/Oracle-Announces-Record-Q4-and-FY-2026-Results-Driven-by-Cloud-Infrastructure--Cloud-Applications/default.aspx</w:t>
      </w:r>
    </w:p>
    <w:p>
      <w:pPr>
        <w:pStyle w:val="Small"/>
      </w:pPr>
      <w:r>
        <w:rPr>
          <w:b/>
        </w:rPr>
        <w:t>Oracle FY25 Q4 and full-year results</w:t>
      </w:r>
      <w:r>
        <w:br/>
        <w:t>https://investor.oracle.com/investor-news/news-details/2025/Oracle-Announces-Fiscal-2025-Fourth-Quarter-and-Fiscal-Full-Year-Financial-Results/default.aspx</w:t>
      </w:r>
    </w:p>
    <w:p>
      <w:pPr>
        <w:pStyle w:val="Small"/>
      </w:pPr>
      <w:r>
        <w:rPr>
          <w:b/>
        </w:rPr>
        <w:t>Oracle FY24 Q4 and full-year results</w:t>
      </w:r>
      <w:r>
        <w:br/>
        <w:t>https://investor.oracle.com/investor-news/news-details/2024/Oracle-Announces-Fiscal-2024-Fourth-Quarter-and-Fiscal-Full-Year-Financial-Results/default.aspx</w:t>
      </w:r>
    </w:p>
    <w:p>
      <w:pPr>
        <w:pStyle w:val="Small"/>
      </w:pPr>
      <w:r>
        <w:rPr>
          <w:b/>
        </w:rPr>
        <w:t>Oracle 2025 financial analyst meeting presentation</w:t>
      </w:r>
      <w:r>
        <w:br/>
        <w:t>https://www.oracle.com/a/ocom/docs/corporate/financial-analyst-meeting-2025-kehring.pdf</w:t>
      </w:r>
    </w:p>
    <w:p>
      <w:pPr>
        <w:pStyle w:val="Small"/>
      </w:pPr>
      <w:r>
        <w:rPr>
          <w:b/>
        </w:rPr>
        <w:t>Oracle FY26 Q4 earnings-call transcript</w:t>
      </w:r>
      <w:r>
        <w:br/>
        <w:t>https://www.fool.com/earnings/call-transcripts/2026/06/10/oracle-orcl-q4-2026-earnings-call-transcript/</w:t>
      </w:r>
    </w:p>
    <w:p>
      <w:pPr>
        <w:pStyle w:val="Small"/>
      </w:pPr>
      <w:r>
        <w:rPr>
          <w:b/>
        </w:rPr>
        <w:t>Oracle mandatory convertible preferred filing</w:t>
      </w:r>
      <w:r>
        <w:br/>
        <w:t>https://www.sec.gov/Archives/edgar/data/1341439/000119312526039435/d57153d8a12b.htm</w:t>
      </w:r>
    </w:p>
    <w:p>
      <w:pPr>
        <w:pStyle w:val="Small"/>
      </w:pPr>
      <w:r>
        <w:rPr>
          <w:b/>
        </w:rPr>
        <w:t>S&amp;P Global Ratings commentary</w:t>
      </w:r>
      <w:r>
        <w:br/>
        <w:t>https://www.spglobal.com/ratings/en/regulatory/article/-/view/sourceId/101695609</w:t>
      </w:r>
    </w:p>
    <w:p>
      <w:pPr>
        <w:pStyle w:val="Small"/>
      </w:pPr>
      <w:r>
        <w:rPr>
          <w:b/>
        </w:rPr>
        <w:t>Microsoft FY26 Q3 earnings materials</w:t>
      </w:r>
      <w:r>
        <w:br/>
        <w:t>https://www.microsoft.com/en-us/investor/earnings/fy-2026-q3/press-release-webcast</w:t>
      </w:r>
    </w:p>
    <w:p>
      <w:pPr>
        <w:pStyle w:val="Small"/>
      </w:pPr>
      <w:r>
        <w:rPr>
          <w:b/>
        </w:rPr>
        <w:t>Public Oracle consensus aggregation</w:t>
      </w:r>
      <w:r>
        <w:br/>
        <w:t>https://simplywall.st/stocks/us/software/nyse-orcl/oracle/news/the-oracle-corporation-nyseorcl-full-year-results-are-out-an</w:t>
      </w:r>
    </w:p>
    <w:p>
      <w:pPr>
        <w:pStyle w:val="Small"/>
      </w:pPr>
      <w:r>
        <w:rPr>
          <w:b/>
        </w:rPr>
        <w:t>Financial-publication review of Oracle lease commitments</w:t>
      </w:r>
      <w:r>
        <w:br/>
        <w:t>https://www.investors.com/news/technology/oracle-stock-21000-ai-layoffs/</w:t>
      </w:r>
    </w:p>
    <w:p/>
    <w:p>
      <w:pPr>
        <w:pStyle w:val="SourceNote"/>
      </w:pPr>
      <w:r>
        <w:rPr>
          <w:b/>
        </w:rPr>
        <w:t xml:space="preserve">Research caveat: </w:t>
      </w:r>
      <w:r>
        <w:t>The document distinguishes reported facts, management guidance, public consensus, analytical assumptions and inferences. Quarterly consensus, exact lease footnotes and any subsequently filed FY27 materials should be refreshed before the spreadsheet is finalized.</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4"/>
      </w:rPr>
      <w:t>Prepared July 20, 2026  |  Independent analytical framework</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B7280"/>
        <w:sz w:val="14"/>
      </w:rPr>
      <w:t>ORACLE CORPORATION | OPERATING FORECAST AND VALUATION FRAMEWORK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9" w:lineRule="auto"/>
    </w:pPr>
    <w:rPr>
      <w:rFonts w:ascii="Aptos" w:hAnsi="Aptos"/>
      <w:color w:val="1F293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ptos" w:hAnsi="Aptos"/>
      <w:b/>
      <w:bCs/>
      <w:color w:val="1F293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w:hAnsi="Aptos"/>
      <w:b w:val="0"/>
      <w:i/>
      <w:iCs/>
      <w:color w:val="6B728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xecutiveBullet">
    <w:name w:val="Executive Bullet"/>
    <w:pPr>
      <w:spacing w:after="100"/>
      <w:ind w:left="259" w:hanging="259"/>
    </w:pPr>
    <w:rPr>
      <w:rFonts w:ascii="Aptos" w:hAnsi="Aptos"/>
      <w:color w:val="1F2937"/>
      <w:sz w:val="20"/>
    </w:rPr>
  </w:style>
  <w:style w:type="paragraph" w:customStyle="1" w:styleId="SourceNote">
    <w:name w:val="Source Note"/>
    <w:pPr>
      <w:spacing w:before="40" w:after="100"/>
    </w:pPr>
    <w:rPr>
      <w:rFonts w:ascii="Aptos" w:hAnsi="Aptos"/>
      <w:color w:val="6B7280"/>
      <w:sz w:val="15"/>
    </w:rPr>
  </w:style>
  <w:style w:type="paragraph" w:customStyle="1" w:styleId="Formula">
    <w:name w:val="Formula"/>
    <w:pPr>
      <w:spacing w:before="80" w:after="80"/>
      <w:ind w:left="360" w:right="360"/>
    </w:pPr>
    <w:rPr>
      <w:rFonts w:ascii="Aptos" w:hAnsi="Aptos"/>
      <w:i/>
      <w:color w:val="17365D"/>
      <w:sz w:val="18"/>
    </w:rPr>
  </w:style>
  <w:style w:type="paragraph" w:customStyle="1" w:styleId="Small">
    <w:name w:val="Small"/>
    <w:pPr>
      <w:spacing w:after="50"/>
    </w:pPr>
    <w:rPr>
      <w:rFonts w:ascii="Aptos" w:hAnsi="Aptos"/>
      <w:color w:val="1F293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Oracle Corporation Eight-Quarter Operating Forecast and Valuation Framework</dc:title>
  <dc:subject>Equity research and valuation model framework</dc:subject>
  <dc:creator>OpenAI</dc:creator>
  <cp:keywords>Oracle, OCI, forecast, valuation, equity research, eight-quarter model</cp:keywords>
  <dc:description>generated by python-docx</dc:description>
  <cp:lastModifiedBy/>
  <cp:revision>1</cp:revision>
  <dcterms:created xsi:type="dcterms:W3CDTF">2013-12-23T23:15:00Z</dcterms:created>
  <dcterms:modified xsi:type="dcterms:W3CDTF">2013-12-23T23:15:00Z</dcterms:modified>
  <cp:category/>
</cp:coreProperties>
</file>