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Oracle Corporation (ORCL) Public-Markets Research Pack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4a556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22"/>
          <w:szCs w:val="22"/>
          <w:rtl w:val="0"/>
        </w:rPr>
        <w:t xml:space="preserve">As-of Date:</w:t>
      </w:r>
      <w:r w:rsidDel="00000000" w:rsidR="00000000" w:rsidRPr="00000000">
        <w:rPr>
          <w:rFonts w:ascii="Arial" w:cs="Arial" w:eastAsia="Arial" w:hAnsi="Arial"/>
          <w:color w:val="4a5568"/>
          <w:sz w:val="22"/>
          <w:szCs w:val="22"/>
          <w:rtl w:val="0"/>
        </w:rPr>
        <w:t xml:space="preserve"> July 20,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4a556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22"/>
          <w:szCs w:val="22"/>
          <w:rtl w:val="0"/>
        </w:rPr>
        <w:t xml:space="preserve">Assignment Focus:</w:t>
      </w:r>
      <w:r w:rsidDel="00000000" w:rsidR="00000000" w:rsidRPr="00000000">
        <w:rPr>
          <w:rFonts w:ascii="Arial" w:cs="Arial" w:eastAsia="Arial" w:hAnsi="Arial"/>
          <w:color w:val="4a5568"/>
          <w:sz w:val="22"/>
          <w:szCs w:val="22"/>
          <w:rtl w:val="0"/>
        </w:rPr>
        <w:t xml:space="preserve"> Historical Financial Analysis, Management Track Record, Operating Driver Deep Dive, Comparable Company Valuation, and Excel Model Appendix.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Executive Summary &amp; Data Integrity Notice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source-backed research pack provides a financial evaluation of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Oracle Corporation (NYSE: ORCL)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alongside key cloud, application, legacy tech, and AI infrastructure peers.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Source Hierarchy Applied: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SEC Filings (Form 10-K, Form 10-Q, Form 8-K), Official Investor Relations Materials &amp; Transcripts, Regulated Market Filings, and Primary Market Data Providers (TIKR, FactSet, S&amp;P Global Ratings).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Conflict Protocol: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All operational and market data conflicts across sources are explicitly flagged inline and highlighted in footnotes rather than silently averaged.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Analytical Scope: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This document is designed to support detailed financial modeling and valuation frameworks.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It does not contain buy/sell stock recommendations or specific target prices.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Section 1: Oracle Historical 12-Quarter Performance Pack (Q1 FY24 – Q4 FY26)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i w:val="1"/>
          <w:iCs w:val="1"/>
          <w:color w:val="71809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718096"/>
          <w:sz w:val="20"/>
          <w:szCs w:val="20"/>
          <w:rtl w:val="0"/>
        </w:rPr>
        <w:t xml:space="preserve">Note: Oracle’s Fiscal Year ends May 31. Q1 ends Aug 31; Q2 ends Nov 30; Q3 ends Feb 28/29; Q4 ends May 31. All figures are USD in millions except per-share data.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1.1 Quarterly Income Statement &amp; Revenue Breakdown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tblGridChange w:id="0">
          <w:tblGrid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Metric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Q1 FY24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Q2 FY24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Q3 FY24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Q4 FY24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Q1 FY25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Q2 FY25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Q3 FY25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Q4 FY25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Q1 FY26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Q2 FY26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Q3 FY26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Q4 FY26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 Revenue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$12,453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$12,941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$13,280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$14,287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$13,307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$14,060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$14,130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$15,903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$14,930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$16,060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$17,190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$19,220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Cloud Svc &amp; Lic. Supp.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$9,547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$9,639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$9,963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$10,234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$10,519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$10,800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$11,000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$11,698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$7,186*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$8,000*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$8,900*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$9,913*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225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 OCI (IaaS) Rev.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$1,500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$1,600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$1,800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$2,000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$2,200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$2,400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$2,700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$3,000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$3,300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$4,100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$4,900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$5,800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225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 Cloud Apps (SaaS)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$3,100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$3,200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$3,300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$3,300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$3,500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$3,500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$3,600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$3,700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$3,800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$3,900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$4,000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$4,100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Cloud &amp; On-Prem Lic.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$809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$1,178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$1,256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$1,838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$870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$1,200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$1,100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$2,007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$5,700*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$5,900*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$6,100*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$6,800*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Hardware Revenue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$714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$756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$750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$842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$655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$750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$730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$850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$740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$760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$750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$900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Services Revenue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$1,383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$1,368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$1,311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$1,373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$1,263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$1,310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$1,300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$1,348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$1,304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$1,400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$1,440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GAAP Op. Income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$3,300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$3,620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$3,750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$4,686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$3,991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$4,200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$4,360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$5,109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$4,277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$4,700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$5,500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$6,133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GAAP Op. Margin 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26.5%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28.0%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28.2%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32.8%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30.0%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29.9%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30.9%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32.1%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28.6%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29.3%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32.0%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31.9%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Non-GAAP Op. Income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$5,080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$5,540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$5,792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$6,670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$5,710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$6,100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$6,200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$7,010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$6,210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$6,700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$7,400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$8,600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Non-GAAP Op. Margin 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40.8%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42.8%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43.6%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46.7%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42.9%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43.4%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43.9%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44.1%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41.6%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41.7%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43.0%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44.7%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Calculated EBITDA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$4,012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$4,418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$4,560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$5,526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$4,841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$5,070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$5,260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$6,059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$5,297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$5,800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$6,720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$7,571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GAAP Diluted EPS ($)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$0.86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$0.89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$0.85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$1.11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$1.03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$1.10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$1.02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$1.19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$1.01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$2.10^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$1.27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$1.45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Non-GAAP Dil. EPS ($)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$1.19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$1.34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$1.41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$1.63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$1.39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$1.47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$1.47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$1.70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$1.47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$2.26^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$1.79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$2.11</w:t>
            </w:r>
          </w:p>
        </w:tc>
      </w:tr>
    </w:tbl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4a5568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4a556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18"/>
          <w:szCs w:val="18"/>
          <w:rtl w:val="0"/>
        </w:rPr>
        <w:t xml:space="preserve">Note on Reporting Reclassification:</w:t>
      </w:r>
      <w:r w:rsidDel="00000000" w:rsidR="00000000" w:rsidRPr="00000000">
        <w:rPr>
          <w:rFonts w:ascii="Arial" w:cs="Arial" w:eastAsia="Arial" w:hAnsi="Arial"/>
          <w:color w:val="4a5568"/>
          <w:sz w:val="18"/>
          <w:szCs w:val="18"/>
          <w:rtl w:val="0"/>
        </w:rPr>
        <w:t xml:space="preserve"> Starting Q1 FY26, Oracle simplified reporting into Total Cloud Revenue (IaaS + SaaS) and Software Revenue (On-premise license + legacy support) in headline releases. Detailed segment disclosures remain accessible via 10-Q/10-K footnotes.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25" w:lineRule="auto"/>
        <w:rPr>
          <w:rFonts w:ascii="Arial" w:cs="Arial" w:eastAsia="Arial" w:hAnsi="Arial"/>
          <w:color w:val="4a5568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4a5568"/>
          <w:sz w:val="18"/>
          <w:szCs w:val="18"/>
          <w:rtl w:val="0"/>
        </w:rPr>
        <w:t xml:space="preserve">^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18"/>
          <w:szCs w:val="18"/>
          <w:rtl w:val="0"/>
        </w:rPr>
        <w:t xml:space="preserve">Note on Q2 FY26 EPS:</w:t>
      </w:r>
      <w:r w:rsidDel="00000000" w:rsidR="00000000" w:rsidRPr="00000000">
        <w:rPr>
          <w:rFonts w:ascii="Arial" w:cs="Arial" w:eastAsia="Arial" w:hAnsi="Arial"/>
          <w:color w:val="4a5568"/>
          <w:sz w:val="18"/>
          <w:szCs w:val="18"/>
          <w:rtl w:val="0"/>
        </w:rPr>
        <w:t xml:space="preserve"> GAAP and Non-GAAP EPS include a $2.7B pre-tax gain ($0.71 per share net impact) from the sale of Oracle’s equity stake in Ampere Computing.</w:t>
      </w:r>
    </w:p>
    <w:p w:rsidR="00000000" w:rsidDel="00000000" w:rsidP="00000000" w:rsidRDefault="00000000" w:rsidRPr="00000000" w14:paraId="000000D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1.2 Quarterly Cash Flow, Balance Sheet &amp; RPO Metrics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tblGridChange w:id="0">
          <w:tblGrid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Metric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Q1 FY24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Q2 FY24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Q3 FY24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Q4 FY24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Q1 FY25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Q2 FY25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Q3 FY25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Q4 FY25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Q1 FY26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Q2 FY26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Q3 FY26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Q4 FY26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CapEx ($M)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$1,310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$1,300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$1,700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$2,180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$2,310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$3,120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$4,800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$10,970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$8,500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$12,100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$15,600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$19,500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Depreciation ($M)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$712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$798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$840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$850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$870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$900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$950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$1,020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$1,100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$1,220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$1,438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Operating Cash Flow ($M)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$7,010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$3,820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$3,800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$4,070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$7,370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$5,020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$5,900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$2,510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$8,100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$5,800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$7,100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$11,000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Free Cash Flow ($M)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$5,700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$2,520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$2,100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$1,890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$5,060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$1,900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$1,100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-$8,460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-$400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-$6,300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-$8,500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-$8,500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Cash &amp; Cash Equiv. ($B)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$12.1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$10.8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$9.9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$10.5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$11.1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$10.9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$10.2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$9.8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$10.4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$12.5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$22.1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$31.3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Gross Debt ($B)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$87.2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$88.0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$87.5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$86.9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$86.2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$85.8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$85.1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$84.5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$85.0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$84.2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$114.2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$135.0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Interest Expense ($M)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$872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$870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$885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$878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$842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$850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$860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$978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$923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$1,100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$1,180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$1,438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Diluted Share Count (M)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2,796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2,803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2,819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2,834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2,851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2,860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2,865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2,871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2,909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2,912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2,915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2,880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RPO ($B)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$65.0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$65.0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$80.0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$98.0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$99.0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$97.0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$130.0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$138.0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$455.0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$523.0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$553.0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$638.0</w:t>
            </w:r>
          </w:p>
        </w:tc>
      </w:tr>
    </w:tbl>
    <w:p w:rsidR="00000000" w:rsidDel="00000000" w:rsidP="00000000" w:rsidRDefault="00000000" w:rsidRPr="00000000" w14:paraId="000001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Section 2: Management Guidance vs. Actual Results History</w:t>
      </w:r>
    </w:p>
    <w:p w:rsidR="00000000" w:rsidDel="00000000" w:rsidP="00000000" w:rsidRDefault="00000000" w:rsidRPr="00000000" w14:paraId="000001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FY2024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Q1 FY24: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Guidance ~8-10% CC Rev | Actual: +8% CC ($12.45B) [In-Line]. Non-GAAP EPS $1.19 vs $1.14 est [Beat].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Q2 FY24: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Guidance ~5-7% CC Rev | Actual: +4% CC ($12.94B) [Miss]. RPO held flat at ~$65B [Neutral].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Q3 FY24: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Guidance ~6-8% CC Rev | Actual: +7% CC ($13.28B) [In-Line]. RPO surged to $80B on major AI deals [Beat].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Q4 FY24: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Guidance ~4-6% CC Rev | Actual: +4% CC ($14.29B) [In-Line]. Non-GAAP EPS $1.63 vs $1.65 est [Slight Miss].</w:t>
      </w:r>
    </w:p>
    <w:p w:rsidR="00000000" w:rsidDel="00000000" w:rsidP="00000000" w:rsidRDefault="00000000" w:rsidRPr="00000000" w14:paraId="000001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FY2025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Q1 FY25: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Guidance ~7-9% CC Rev | Actual: +8% CC ($13.31B) [In-Line]. RPO hits $99B [Beat].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Q2 FY25: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Guidance ~8-10% CC Rev | Actual: +9% CC ($14.06B) [In-Line]. OCI accelerates to +52% YoY [Beat].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Q3 FY25: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Guidance ~7-9% CC Rev | Actual: +8% CC ($14.13B) [In-Line]. Signed $48B in contracts; RPO reaches $130B.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Q4 FY25: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Guidance ~9-11% CC Rev | Actual: +11% CC ($15.90B) [Beat]. Non-GAAP EPS $1.70 vs $1.64 est [Beat].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Strategic Revision: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Raised FY26 revenue growth target to &gt;16% (&gt;$67B) and OCI target to &gt;70%.</w:t>
      </w:r>
    </w:p>
    <w:p w:rsidR="00000000" w:rsidDel="00000000" w:rsidP="00000000" w:rsidRDefault="00000000" w:rsidRPr="00000000" w14:paraId="000001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FY2026</w:t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Q1 FY26: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Guidance ~8-10% CC Rev | Actual: +11% CC ($14.93B) [Beat]. RPO jumped to $455B on 4 multi-billion AI deals.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Plan Revision: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Raised FY26 OCI guidance to $18B (+77% YoY).</w:t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Q2 FY26: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Guidance ~12-14% CC Rev | Actual: +13% CC ($16.06B) [In-Line]. Non-GAAP EPS $2.26 vs $1.60 est [Beat^].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Financing Shift: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Divested Ampere stake ($2.7B gain) to pursue chip neutrality across NVIDIA/AMD/Intel.</w:t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Q3 FY26: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Guidance ~16-18% CC Rev | Actual: +18% CC ($17.19B) [High-End Beat]. RPO expanded to $553B.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Financing Step-Up: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Announced $50B total capital raise plan ($30B debt/convertibles executed in Q3).</w:t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Q4 FY26: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Guidance ~19-21% CC Rev | Actual: +20% CC ($19.22B) [In-Line]. Non-GAAP EPS $2.11 vs $1.96 est [Beat].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Guidance Reaction: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Market sold off 8.5% post-release due to FY27 CapEx financing expansion to $40B and lower-than-expected Q1 FY27 EPS guidance ($1.72–$1.76 vs $1.85 consensus).</w:t>
      </w:r>
    </w:p>
    <w:p w:rsidR="00000000" w:rsidDel="00000000" w:rsidP="00000000" w:rsidRDefault="00000000" w:rsidRPr="00000000" w14:paraId="000001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Section 3: Assessment of Oracle’s Operating Drivers</w:t>
      </w:r>
    </w:p>
    <w:p w:rsidR="00000000" w:rsidDel="00000000" w:rsidP="00000000" w:rsidRDefault="00000000" w:rsidRPr="00000000" w14:paraId="000001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3.1 OCI Demand, GPU Utilization &amp; Data-Center Footprint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Demand for Oracle Cloud Infrastructure (OCI) is being driven by large-scale Generative AI training clusters and MultiCloud enterprise database migrations.</w:t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GPU Utilization: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Management reported global GPU cluster utilization standing at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97.5%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as of Q4 FY26, confirming that revenue growth is constrained by power and data-center delivery schedules rather than customer order volumes.</w:t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MultiCloud Partnerships: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expansion of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Oracle Database@Azure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Oracle Database@Google Cloud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Oracle Database@AWS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drove MultiCloud database revenue up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531% YoY in Q3 FY26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404% YoY in Q4 FY26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Global Footprint: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Oracle operates over 211 live and planned cloud regions globally, leveraging standardized, automated build architectures (using Autonomous Linux and automated operations) to lower labor overhead.</w:t>
      </w:r>
    </w:p>
    <w:p w:rsidR="00000000" w:rsidDel="00000000" w:rsidP="00000000" w:rsidRDefault="00000000" w:rsidRPr="00000000" w14:paraId="000001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3.2 Remaining Performance Obligations (RPO) &amp; Backlog Conversion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Oracle’s RPO expanded from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$65 billion in Q1 FY24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to a record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$638 billion in Q4 FY26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Contract Duration &amp; Prepayments: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Out of the $638B backlog, approximately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$75 billion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represents prepaid or customer-supplied hardware contracts (e.g., customers supplying or funding their own NVIDIA GPU clusters directly).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Conversion Rate: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Management targets converting the RPO backlog into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$90 billion in FY27 revenue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$144 billion in OCI revenue by FY30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3.3 Customer Concentration &amp; Bring-Your-Own-Hardware (BYOH)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Oracle’s backlog acceleration is heavily weighted toward hyper-scaler AI partnerships and major frontier-model labs, including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OpenAI, Meta, xAI, NVIDIA, and AMD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iCs w:val="1"/>
          <w:color w:val="2d374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d3748"/>
          <w:sz w:val="20"/>
          <w:szCs w:val="20"/>
          <w:rtl w:val="0"/>
        </w:rPr>
        <w:t xml:space="preserve">Key Structural Risk:</w:t>
      </w: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sz w:val="20"/>
          <w:szCs w:val="20"/>
          <w:rtl w:val="0"/>
        </w:rPr>
        <w:t xml:space="preserve"> The top 5 AI customers account for more than 50% of the incremental RPO expansion since FY25. However, 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d3748"/>
          <w:sz w:val="20"/>
          <w:szCs w:val="20"/>
          <w:rtl w:val="0"/>
        </w:rPr>
        <w:t xml:space="preserve">$75 billion in BYOH and upfront customer prepayments</w:t>
      </w: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sz w:val="20"/>
          <w:szCs w:val="20"/>
          <w:rtl w:val="0"/>
        </w:rPr>
        <w:t xml:space="preserve"> acts as a structural credit buffer, insulating Oracle from residual equipment risk if an AI customer defaults or downsizes capacity requirements.</w:t>
      </w:r>
    </w:p>
    <w:p w:rsidR="00000000" w:rsidDel="00000000" w:rsidP="00000000" w:rsidRDefault="00000000" w:rsidRPr="00000000" w14:paraId="000001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3.4 Cloud Gross-Margin Trajectory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Oracle’s overall gross margin has experienced deliberate near-term compression as the mix shifts rapidly toward lower-margin IaaS infrastructure: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Historical Gross Margin: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72.5%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 Q4 FY24 (software-heavy mix).</w:t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Current Gross Margin: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64.6%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 Q3 FY26 /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65.1%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 Q4 FY26.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Outlook: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Management anticipates gross margins stabilizing as new hyper-scale data centers exit the construction/ramp phase and reach normalized GPU utilization rates.</w:t>
      </w:r>
    </w:p>
    <w:p w:rsidR="00000000" w:rsidDel="00000000" w:rsidP="00000000" w:rsidRDefault="00000000" w:rsidRPr="00000000" w14:paraId="000001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3.5 Capital Intensity, Debt, and Dilution Metrics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rapid expansion of AI infrastructure has altered Oracle’s balance sheet and cash flow profile:</w:t>
      </w:r>
    </w:p>
    <w:p w:rsidR="00000000" w:rsidDel="00000000" w:rsidP="00000000" w:rsidRDefault="00000000" w:rsidRPr="00000000" w14:paraId="0000017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Capital Expenditures: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Escalated from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$6.5B in FY24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$21.2B in FY25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reaching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$55.7B in FY26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Planned FY27 CapEx is projected at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~$70B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7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Free Cash Flow Deficit: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Ended FY26 at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-$23.7B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despite record operating cash flow of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$32.0B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Financing Activities: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 FY26, Oracle raised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$43B in debt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$5B in equity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In FY27, Oracle plans to raise an additional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$40B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via debt and its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$20B At-The-Market (ATM) equity program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7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Credit Rating Risk: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S&amp;P and Moody’s maintain Oracle’s investment-grade credit rating at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BBB/Baa2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Analysts monitor leverage ratios closely, as gross debt reached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$135 billion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at the end of FY26.</w:t>
      </w:r>
    </w:p>
    <w:p w:rsidR="00000000" w:rsidDel="00000000" w:rsidP="00000000" w:rsidRDefault="00000000" w:rsidRPr="00000000" w14:paraId="000001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Section 4: Comparable-Company Valuation &amp; Operating Metrics Table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1"/>
          <w:iCs w:val="1"/>
          <w:color w:val="71809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718096"/>
          <w:sz w:val="20"/>
          <w:szCs w:val="20"/>
          <w:rtl w:val="0"/>
        </w:rPr>
        <w:t xml:space="preserve">Market Data as of: July 17–20, 2026. All financial figures are presented in USD billions except per-share data.</w:t>
      </w:r>
    </w:p>
    <w:tbl>
      <w:tblPr>
        <w:tblStyle w:val="Table3"/>
        <w:tblW w:w="9359.999999999998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tblGridChange w:id="0">
          <w:tblGrid>
            <w:gridCol w:w="624"/>
            <w:gridCol w:w="624"/>
            <w:gridCol w:w="624"/>
            <w:gridCol w:w="624"/>
            <w:gridCol w:w="624"/>
            <w:gridCol w:w="624"/>
            <w:gridCol w:w="624"/>
            <w:gridCol w:w="624"/>
            <w:gridCol w:w="624"/>
            <w:gridCol w:w="624"/>
            <w:gridCol w:w="624"/>
            <w:gridCol w:w="624"/>
            <w:gridCol w:w="624"/>
            <w:gridCol w:w="624"/>
            <w:gridCol w:w="6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Company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Ticker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Share Price ($)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Market Cap ($B)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EV ($B)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NTM Rev. ($B)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NTM Rev Growth 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NTM EBITDA ($B)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EBITDA Margin 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NTM EPS ($)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EV / NTM Rev.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EV / NTM EBITDA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P / NTM EPS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Net Debt / (Cash) ($B)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2f4f8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CapEx / Rev. %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  <w:rtl w:val="0"/>
              </w:rPr>
              <w:t xml:space="preserve">Oracle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  <w:rtl w:val="0"/>
              </w:rPr>
              <w:t xml:space="preserve">ORCL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$184.10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$415.4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$519.1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$79.5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31.0%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$33.6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42.3%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$8.05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6.5x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15.4x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22.9x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$103.7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82.7%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Microsoft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MSFT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$386.74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$2,875.0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$2,835.0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$305.0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16.0%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$155.0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50.8%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$18.50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9.3x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18.3x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20.9x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($40.0)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34.1%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Amazon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AMZN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$247.23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$2,670.0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$2,690.0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$710.0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12.5%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$140.0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19.7%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$9.60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3.8x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19.2x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25.8x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$20.0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13.5%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Alphabet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GOOGL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$337.42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$2,150.0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$2,090.0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$440.0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13.0%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$145.0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33.0%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$11.65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4.7x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14.4x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28.9x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($60.0)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22.5%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SAP SE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$156.11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$181.6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$179.4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$38.5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11.0%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$11.2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29.1%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$7.43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4.7x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16.0x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21.0x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($2.1)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4.5%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Salesforce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$170.77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$139.9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$167.3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$40.5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9.0%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$13.5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33.3%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$10.50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4.1x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12.4x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16.3x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$27.4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2.5%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ServiceNow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NOW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$103.24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$106.5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$104.2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$13.5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21.0%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$4.2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31.1%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$3.67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7.7x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24.8x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28.1x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($2.3)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3.8%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IBM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IBM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$249.10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$230.5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$286.7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$71.0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5.5%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$17.0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23.9%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$12.45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4.0x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16.9x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20.0x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$56.2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4.8%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CoreWeave*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CRWV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$87.20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$38.5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$59.8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$11.2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118.0%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$7.5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67.0%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5.3x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8.0x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$21.3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140.0%</w:t>
            </w:r>
          </w:p>
        </w:tc>
      </w:tr>
    </w:tbl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rFonts w:ascii="Arial" w:cs="Arial" w:eastAsia="Arial" w:hAnsi="Arial"/>
          <w:i w:val="1"/>
          <w:iCs w:val="1"/>
          <w:color w:val="4a5568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4a556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18"/>
          <w:szCs w:val="18"/>
          <w:rtl w:val="0"/>
        </w:rPr>
        <w:t xml:space="preserve">CoreWeave is included as a reference-only comp. Figures reflect S&amp;P Global Ratings disclosures and 2025/2026 debt/equity placement valuations.</w:t>
      </w:r>
    </w:p>
    <w:p w:rsidR="00000000" w:rsidDel="00000000" w:rsidP="00000000" w:rsidRDefault="00000000" w:rsidRPr="00000000" w14:paraId="000002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Section 5: Peer Group Categorization &amp; Structural Segmentation</w:t>
      </w:r>
    </w:p>
    <w:p w:rsidR="00000000" w:rsidDel="00000000" w:rsidP="00000000" w:rsidRDefault="00000000" w:rsidRPr="00000000" w14:paraId="0000021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Hyperscale Cloud Peers: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Microsoft (MSFT), Amazon (AMZN), Alphabet (GOOGL)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Core benchmark for OCI growth rates, GPU infrastructure, and CapEx intensity.</w:t>
      </w:r>
    </w:p>
    <w:p w:rsidR="00000000" w:rsidDel="00000000" w:rsidP="00000000" w:rsidRDefault="00000000" w:rsidRPr="00000000" w14:paraId="0000021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 Enterprise Application Peers: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SAP SE (SAP), Salesforce (CRM), ServiceNow (NOW)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Core benchmark for Fusion ERP, NetSuite, SaaS gross margins, and RPO burn.</w:t>
      </w:r>
    </w:p>
    <w:p w:rsidR="00000000" w:rsidDel="00000000" w:rsidP="00000000" w:rsidRDefault="00000000" w:rsidRPr="00000000" w14:paraId="0000021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 Mature Enterprise Infrastructure Peers: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IBM (IBM)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Core benchmark for legacy database maintenance and mission-critical lock-in.</w:t>
      </w:r>
    </w:p>
    <w:p w:rsidR="00000000" w:rsidDel="00000000" w:rsidP="00000000" w:rsidRDefault="00000000" w:rsidRPr="00000000" w14:paraId="000002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 Reference-Only AI Infrastructure Peers: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CoreWeave (CRWV)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Pure-play GPU cloud reference for unit economics and high debt leverage.</w:t>
      </w:r>
    </w:p>
    <w:p w:rsidR="00000000" w:rsidDel="00000000" w:rsidP="00000000" w:rsidRDefault="00000000" w:rsidRPr="00000000" w14:paraId="000002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Section 6: Suitability Analysis of Comparable Companies</w:t>
      </w:r>
    </w:p>
    <w:p w:rsidR="00000000" w:rsidDel="00000000" w:rsidP="00000000" w:rsidRDefault="00000000" w:rsidRPr="00000000" w14:paraId="000002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6.1 Strong Comparable Companies</w:t>
      </w:r>
    </w:p>
    <w:p w:rsidR="00000000" w:rsidDel="00000000" w:rsidP="00000000" w:rsidRDefault="00000000" w:rsidRPr="00000000" w14:paraId="0000021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Microsoft (MSFT):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Strongest Overall Comp.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Microsoft spans both hyperscale cloud infrastructure (Azure) and enterprise application suites (Office 365/Dynamics). Like Oracle, Microsoft is navigating an elevated infrastructure CapEx cycle to support AI capacity demand.</w:t>
      </w:r>
    </w:p>
    <w:p w:rsidR="00000000" w:rsidDel="00000000" w:rsidP="00000000" w:rsidRDefault="00000000" w:rsidRPr="00000000" w14:paraId="000002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SAP SE (SAP):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Strongest Application Comp.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Directly competes with Oracle Fusion ERP and NetSuite. Shares similar mission-critical enterprise database lock-in and multi-year cloud transition dynamics.</w:t>
      </w:r>
    </w:p>
    <w:p w:rsidR="00000000" w:rsidDel="00000000" w:rsidP="00000000" w:rsidRDefault="00000000" w:rsidRPr="00000000" w14:paraId="0000022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ServiceNow (NOW):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Strongest Cloud Growth Comp.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Provides an appropriate benchmark for high-margin SaaS expansion, platform automation, and enterprise workflow monetization.</w:t>
      </w:r>
    </w:p>
    <w:p w:rsidR="00000000" w:rsidDel="00000000" w:rsidP="00000000" w:rsidRDefault="00000000" w:rsidRPr="00000000" w14:paraId="000002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6.2 Weak Comparable Companies</w:t>
      </w:r>
    </w:p>
    <w:p w:rsidR="00000000" w:rsidDel="00000000" w:rsidP="00000000" w:rsidRDefault="00000000" w:rsidRPr="00000000" w14:paraId="0000022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Amazon (AMZN) &amp; Alphabet (GOOGL):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Weak Valuation Comps.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While AWS and Google Cloud compete directly with OCI, both companies generate significant revenue and operating income from non-enterprise activities (consumer e-commerce, digital advertising). Their consolidated multiples reflect consumer market dynamics alongside cloud infrastructure.</w:t>
      </w:r>
    </w:p>
    <w:p w:rsidR="00000000" w:rsidDel="00000000" w:rsidP="00000000" w:rsidRDefault="00000000" w:rsidRPr="00000000" w14:paraId="0000022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IBM (IBM):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Weak Growth Comp.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While IBM reflects Oracle’s legacy on-premise enterprise base, it lacks a high-growth hyperscale IaaS platform comparable to OCI.</w:t>
      </w:r>
    </w:p>
    <w:p w:rsidR="00000000" w:rsidDel="00000000" w:rsidP="00000000" w:rsidRDefault="00000000" w:rsidRPr="00000000" w14:paraId="0000022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CoreWeave (CRWV):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Reference-Only Comp.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Pure-play GPU cloud provider. Useful for evaluating GPU cluster debt financing and gross margin benchmarks, but lacks Oracle's software application ecosystem and cash-generative legacy database business.</w:t>
      </w:r>
    </w:p>
    <w:p w:rsidR="00000000" w:rsidDel="00000000" w:rsidP="00000000" w:rsidRDefault="00000000" w:rsidRPr="00000000" w14:paraId="000002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Section 7: Scenario Analysis — Strongest Bear, Base, and Bull Arguments</w:t>
      </w:r>
    </w:p>
    <w:p w:rsidR="00000000" w:rsidDel="00000000" w:rsidP="00000000" w:rsidRDefault="00000000" w:rsidRPr="00000000" w14:paraId="000002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7.1 The Bull Argument</w:t>
      </w:r>
    </w:p>
    <w:p w:rsidR="00000000" w:rsidDel="00000000" w:rsidP="00000000" w:rsidRDefault="00000000" w:rsidRPr="00000000" w14:paraId="0000022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Unrivaled Revenue Visibility: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$638 billion RPO backlog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provides contractual revenue coverage through FY30.</w:t>
      </w:r>
    </w:p>
    <w:p w:rsidR="00000000" w:rsidDel="00000000" w:rsidP="00000000" w:rsidRDefault="00000000" w:rsidRPr="00000000" w14:paraId="0000022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MultiCloud Database Dominance: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Co-locating Oracle Autonomous Database within Azure, Google Cloud, and AWS datacenters unlocks a multi-year growth runway with minimal incremental capital outlay.</w:t>
      </w:r>
    </w:p>
    <w:p w:rsidR="00000000" w:rsidDel="00000000" w:rsidP="00000000" w:rsidRDefault="00000000" w:rsidRPr="00000000" w14:paraId="0000022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Prepaid Capital Protection: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$75 billion in customer prepayments and BYOH deals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reduces debt-financing burdens and shields Oracle from residual equipment risk.</w:t>
      </w:r>
    </w:p>
    <w:p w:rsidR="00000000" w:rsidDel="00000000" w:rsidP="00000000" w:rsidRDefault="00000000" w:rsidRPr="00000000" w14:paraId="000002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7.2 The Base Argument</w:t>
      </w:r>
    </w:p>
    <w:p w:rsidR="00000000" w:rsidDel="00000000" w:rsidP="00000000" w:rsidRDefault="00000000" w:rsidRPr="00000000" w14:paraId="0000022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Steady RPO Conversion: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Backlog converts on schedule, driving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31% revenue growth in FY27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steady progress toward long-term targets.</w:t>
      </w:r>
    </w:p>
    <w:p w:rsidR="00000000" w:rsidDel="00000000" w:rsidP="00000000" w:rsidRDefault="00000000" w:rsidRPr="00000000" w14:paraId="0000022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Margin Stabilization: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Gross margin compression stops near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64–65%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as newly built data centers reach operational efficiency.</w:t>
      </w:r>
    </w:p>
    <w:p w:rsidR="00000000" w:rsidDel="00000000" w:rsidP="00000000" w:rsidRDefault="00000000" w:rsidRPr="00000000" w14:paraId="0000022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Manageable Free Cash Flow Deficits: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High CapEx keeps near-term free cash flow negative, but strong cash flow from operations 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$32B+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supports debt service requirements.</w:t>
      </w:r>
    </w:p>
    <w:p w:rsidR="00000000" w:rsidDel="00000000" w:rsidP="00000000" w:rsidRDefault="00000000" w:rsidRPr="00000000" w14:paraId="000002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7.3 The Bear Argument</w:t>
      </w:r>
    </w:p>
    <w:p w:rsidR="00000000" w:rsidDel="00000000" w:rsidP="00000000" w:rsidRDefault="00000000" w:rsidRPr="00000000" w14:paraId="0000023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Severe Capital Intensity &amp; Negative FCF: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FY26 CapEx of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$55.7B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planned FY27 spending of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~$70B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create substantial multi-year free cash flow deficits.</w:t>
      </w:r>
    </w:p>
    <w:p w:rsidR="00000000" w:rsidDel="00000000" w:rsidP="00000000" w:rsidRDefault="00000000" w:rsidRPr="00000000" w14:paraId="0000023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Leverage &amp; Credit Rating Risk: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Total debt reaching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$135B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raises interest expense 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$1.44B in Q4 FY26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and risks credit rating downgrades if AI revenue conversion experiences delays.</w:t>
      </w:r>
    </w:p>
    <w:p w:rsidR="00000000" w:rsidDel="00000000" w:rsidP="00000000" w:rsidRDefault="00000000" w:rsidRPr="00000000" w14:paraId="0000023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Customer Concentration &amp; Equity Dilution: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Heavy reliance on a small number of AI labs exposes Oracle to counterparty risks, while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$20B ATM equity program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creates share dilution.</w:t>
      </w:r>
    </w:p>
    <w:p w:rsidR="00000000" w:rsidDel="00000000" w:rsidP="00000000" w:rsidRDefault="00000000" w:rsidRPr="00000000" w14:paraId="000002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Section 8: Excel-Ready Clean Data Appendix</w:t>
      </w:r>
    </w:p>
    <w:p w:rsidR="00000000" w:rsidDel="00000000" w:rsidP="00000000" w:rsidRDefault="00000000" w:rsidRPr="00000000" w14:paraId="000002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Appendix A: Oracle 12-Quarter Income Statement Data (CSV Format)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rPr>
          <w:rFonts w:ascii="Consolas" w:cs="Consolas" w:eastAsia="Consolas" w:hAnsi="Consolas"/>
          <w:sz w:val="16"/>
          <w:szCs w:val="16"/>
          <w:shd w:fill="f7fafc" w:val="clear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shd w:fill="f7fafc" w:val="clear"/>
          <w:rtl w:val="0"/>
        </w:rPr>
        <w:t xml:space="preserve">Metric,Q1_FY24,Q2_FY24,Q3_FY24,Q4_FY24,Q1_FY25,Q2_FY25,Q3_FY25,Q4_FY25,Q1_FY26,Q2_FY26,Q3_FY26,Q4_FY26</w:t>
        <w:br w:type="textWrapping"/>
        <w:t xml:space="preserve">Total_Revenue,12453,12941,13280,14287,13307,14060,14130,15903,14930,16060,17190,19220</w:t>
        <w:br w:type="textWrapping"/>
        <w:t xml:space="preserve">Cloud_Services_License_Support,9547,9639,9963,10234,10519,10800,11000,11698,7186,8000,8900,9913</w:t>
        <w:br w:type="textWrapping"/>
        <w:t xml:space="preserve">OCI_IaaS_Revenue,1500,1600,1800,2000,2200,2400,2700,3000,3300,4100,4900,5800</w:t>
        <w:br w:type="textWrapping"/>
        <w:t xml:space="preserve">Cloud_Applications_SaaS,3100,3200,3300,3300,3500,3500,3600,3700,3800,3900,4000,4100</w:t>
        <w:br w:type="textWrapping"/>
        <w:t xml:space="preserve">Cloud_OnPremise_License,809,1178,1256,1838,870,1200,1100,2007,5700,5900,6100,6800</w:t>
        <w:br w:type="textWrapping"/>
        <w:t xml:space="preserve">Hardware_Revenue,714,756,750,842,655,750,730,850,740,760,750,900</w:t>
        <w:br w:type="textWrapping"/>
        <w:t xml:space="preserve">Services_Revenue,1383,1368,1311,1373,1263,1310,1300,1348,1304,1400,1440,1500</w:t>
        <w:br w:type="textWrapping"/>
        <w:t xml:space="preserve">GAAP_Operating_Income,3300,3620,3750,4686,3991,4200,4360,5109,4277,4700,5500,6133</w:t>
        <w:br w:type="textWrapping"/>
        <w:t xml:space="preserve">Non_GAAP_Operating_Income,5080,5540,5792,6670,5710,6100,6200,7010,6210,6700,7400,8600</w:t>
        <w:br w:type="textWrapping"/>
        <w:t xml:space="preserve">Calculated_EBITDA,4012,4418,4560,5526,4841,5070,5260,6059,5297,5800,6720,7571</w:t>
        <w:br w:type="textWrapping"/>
        <w:t xml:space="preserve">GAAP_Diluted_EPS,0.86,0.89,0.85,1.11,1.03,1.10,1.02,1.19,1.01,2.10,1.27,1.45</w:t>
        <w:br w:type="textWrapping"/>
        <w:t xml:space="preserve">Non_GAAP_Diluted_EPS,1.19,1.34,1.41,1.63,1.39,1.47,1.47,1.70,1.47,2.26,1.79,2.11</w:t>
        <w:br w:type="textWrapping"/>
        <w:t xml:space="preserve">CapEx,1310,1300,1700,2180,2310,3120,4800,10970,8500,12100,15600,19500</w:t>
        <w:br w:type="textWrapping"/>
        <w:t xml:space="preserve">Depreciation,712,798,810,840,850,870,900,950,1020,1100,1220,1438</w:t>
        <w:br w:type="textWrapping"/>
        <w:t xml:space="preserve">Operating_Cash_Flow,7010,3820,3800,4070,7370,5020,5900,2510,8100,5800,7100,11000</w:t>
        <w:br w:type="textWrapping"/>
        <w:t xml:space="preserve">Free_Cash_Flow,5700,2520,2100,1890,5060,1900,1100,-8460,-400,-6300,-8500,-8500</w:t>
        <w:br w:type="textWrapping"/>
        <w:t xml:space="preserve">Gross_Debt,87200,88000,87500,86900,86200,85800,85100,84500,85000,84200,114200,135000</w:t>
        <w:br w:type="textWrapping"/>
        <w:t xml:space="preserve">Interest_Expense,872,870,885,878,842,850,860,978,923,1100,1180,1438</w:t>
        <w:br w:type="textWrapping"/>
        <w:t xml:space="preserve">Diluted_Shares_M,2796,2803,2819,2834,2851,2860,2865,2871,2909,2912,2915,2880</w:t>
        <w:br w:type="textWrapping"/>
        <w:t xml:space="preserve">RPO_Billion,65.0,65.0,80.0,98.0,99.0,97.0,130.0,138.0,455.0,523.0,553.0,638.0</w:t>
        <w:br w:type="textWrapping"/>
      </w:r>
    </w:p>
    <w:p w:rsidR="00000000" w:rsidDel="00000000" w:rsidP="00000000" w:rsidRDefault="00000000" w:rsidRPr="00000000" w14:paraId="000002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Appendix B: Valuation &amp; Peer Benchmarking Table (CSV Format)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Consolas" w:cs="Consolas" w:eastAsia="Consolas" w:hAnsi="Consolas"/>
          <w:sz w:val="16"/>
          <w:szCs w:val="16"/>
          <w:shd w:fill="f7fafc" w:val="clear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shd w:fill="f7fafc" w:val="clear"/>
          <w:rtl w:val="0"/>
        </w:rPr>
        <w:t xml:space="preserve">Company,Ticker,Share_Price,Market_Cap_B,EV_B,NTM_Rev_B,NTM_Rev_Growth,NTM_EBITDA_B,EBITDA_Margin,NTM_EPS,EV_NTM_Rev,EV_NTM_EBITDA,P_NTM_EPS,Net_Debt_B,CapEx_Rev_Pct</w:t>
        <w:br w:type="textWrapping"/>
        <w:t xml:space="preserve">Oracle,ORCL,184.10,415.4,519.1,79.5,0.31,33.6,0.423,8.05,6.5,15.4,22.9,103.7,0.827</w:t>
        <w:br w:type="textWrapping"/>
        <w:t xml:space="preserve">Microsoft,MSFT,386.74,2875.0,2835.0,305.0,0.16,155.0,0.508,18.50,9.3,18.3,20.9,-40.0,0.341</w:t>
        <w:br w:type="textWrapping"/>
        <w:t xml:space="preserve">Amazon,AMZN,247.23,2670.0,2690.0,710.0,0.125,140.0,0.197,9.60,3.8,19.2,25.8,20.0,0.135</w:t>
        <w:br w:type="textWrapping"/>
        <w:t xml:space="preserve">Alphabet,GOOGL,337.42,2150.0,2090.0,440.0,0.13,145.0,0.33,11.65,4.7,14.4,28.9,-60.0,0.225</w:t>
        <w:br w:type="textWrapping"/>
        <w:t xml:space="preserve">SAP SE,SAP,156.11,181.6,179.4,38.5,0.11,11.2,0.291,7.43,4.7,16.0,21.0,-2.1,0.045</w:t>
        <w:br w:type="textWrapping"/>
        <w:t xml:space="preserve">Salesforce,CRM,170.77,139.9,167.3,40.5,0.09,13.5,0.333,10.50,4.1,12.4,16.3,27.4,0.025</w:t>
        <w:br w:type="textWrapping"/>
        <w:t xml:space="preserve">ServiceNow,NOW,103.24,106.5,104.2,13.5,0.21,4.2,0.311,3.67,7.7,24.8,28.1,-2.3,0.038</w:t>
        <w:br w:type="textWrapping"/>
        <w:t xml:space="preserve">IBM,IBM,249.10,230.5,286.7,71.0,0.055,17.0,0.239,12.45,4.0,16.9,20.0,56.2,0.048</w:t>
        <w:br w:type="textWrapping"/>
        <w:t xml:space="preserve">CoreWeave,CRWV,87.20,38.5,59.8,11.2,1.18,7.5,0.67,N/A,5.3,8.0,N/A,21.3,1.400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