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Valuation &amp; Market Research Report: Oracle Corporation (NYSE: ORCL)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Oracle Current Market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Corporation (NYSE: ORCL) has experienced substantial market repricing following its capital deployment phase into artificial intelligence infrastructure and hyper-scale cloud expansion. As of late July 2026, Oracle’s equity trades at a discount to its 52-week high of $345.72, reflecting market scrutiny around near-term free cash flow generation and debt-funded capital expenditures.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bridge between Oracle’s market capitalization and enterprise value highlights an expansive capital structure, incorporating $31.3 billion in cash and cash equivalents offset by substantial senior debt obligations and the preferred equity tranche issued in early 2026. The share count basic count remains stable at approximately 2.88 billion common shares, with share buyback activity paused to direct all operating cash flow toward gigawatt-scale data center builds.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Structure &amp; Market Metric</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 Figure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Source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ORCL Share Price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$127.05</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NYSE / Oracle Investor Relations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21,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Alternative Real-Time Spot Price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$126.69</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Morningstar / Cboe BZX Real-Time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 Capitalization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$360.19 Billion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NYSE / Oracle Investor Relations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21,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Alternative Market Cap Estimate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$364.13 Billion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Public.com Fundamental Data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17,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Value (EV)</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$445.64 Billion ($445,638,560K)</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Barchart Market Data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Common Shares Outstanding (Basic)</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2.88 Billion shares (2,880,471K)</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Barchart / SEC Form 10-K / Google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ATM Common Equity Program</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$20.0 Billion Authorized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 Moomoo Data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Announced CY2026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Recent Common Share Buybacks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spent in Q4 FY2026</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Filing / StockTitan Financials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Fiscal Q4 2026</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expansion in Oracle’s Enterprise Value relative to its Market Capitalization reflects the leverage added to fund its $55.7 billion FY2026 capital expenditures. From a weighted average cost of capital (WACC) modeling perspective, the cost of equity must account for an elevated equity beta of 1.72. Simultaneously, the cost of debt has risen due to large-scale bond issuances ($43 billion raised in FY2026 and an additional ~$40 billion planned across debt and equity in FY2027).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temporary suspension of share repurchases ($0 in Q4 FY2026) marks a fundamental capital allocation shift from return of capital to capital deployment. Financial modeling must project share count dilution primarily through employee stock-based compensation and the potential equity issuance via the $20 billion At-The-Market (ATM) program, rather than share count reduction.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Oracle Options Market &amp; Volatility Surface Analysis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options surface for Oracle Corporation reflects significant implied volatility across near-term and LEAPS expirations, driven by market uncertainty surrounding the execution of its AI infrastructure buildout and upcoming quarterly earnings announcements.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implied volatility (IV) structure exhibits a pronounced earnings event spike for the September 2026 contract, with term structure remaining elevated across late 2026 and 2027 expirations. Strike prices bracketing $110.00 through $180.00 indicate an asymmetric risk premium, with call options carrying higher relative implied volatility due to institutional demand for upside participation in Oracle Cloud Infrastructure (OCI) backlog monetization.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Expiration / Volatility Metric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 Value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Provider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September 18, 2026 (Next Earnings Exp)</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71.2% ATM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MarketChameleon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December 18, 2026 Expiration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69.5% ATM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MarketChameleon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June 17, 2027 Expiration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67.9% ATM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MarketChameleon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September 17, 2027 Expiration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67.7% ATM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MarketChameleon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December 17, 2027 Expiration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67.3% ATM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MarketChameleon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30-Day Call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59.97% (0.5997)</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AlphaQuery / VolVue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9,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30-Day Put Implied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60.30% (0.6030)</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AlphaQuery / VolVue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9,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60-Day Historical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56.8%</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AllInvestView Options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Put-Call Volume Ratio</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0.3761 (Call Heavy)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AlphaQuery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9,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Put-Call Open Interest Ratio</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0.6588</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AlphaQuery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9,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 18, 2026 Straddle Premium</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 Implied Move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MarketChameleon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Strike Price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18, 2026 Call Premium (Est.)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18, 2026 Call Premium (Est.)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17, 2027 Call Premium (Est.)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Model / Source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$110.00 (ITM)</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$24.50 – $26.20</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$29.80 – $31.50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$38.20 – $40.50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$120.00 (ITM)</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$18.10 – $19.50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$23.50 – $25.00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$32.50 – $34.50</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$130.00 (OTM)</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$12.80 – $14.10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$18.20 – $19.60</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$27.10 – $29.00</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$140.00 (OTM)</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$8.60 – $9.80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$13.70 – $15.00</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$22.40 – $24.20</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$150.00 (OTM)</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$5.50 – $6.50</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$10.10 – $11.30</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$18.30 – $20.00</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$160.00 (OTM)</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$3.40 – $4.20</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$7.30 – $8.40</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$14.80 – $16.40</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$170.00 (OTM)</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 $2.70</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 – $6.10</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$11.90 – $13.30</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$180.00 (OTM)</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 $1.70</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 – $4.40</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$9.50 – $10.80</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Black-Scholes / OptionCharts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evaluating position structures among outright equity, long call options, and vertical call spreads, market mechanics strongly favor spread structures. Direct stock ownership offers dividend yield (1.58% annualized) and uncapped upside but maintains full exposure to downside risk if capital expenditure execution delays compress operating margins. Outright long call option purchases suffer from high Vega decay following earnings announcements due to the elevated 71.2% implied volatility in the September 2026 series.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vertical call spread—such as purchasing the $130 strike call and selling the $160 strike call—effectively neutralizes the high Vega risk. This structure takes advantage of elevated implied volatility on the short leg while capping net premium spend, offering a disciplined risk-reward profile to capture potential OCI upside ahead of FY2027 capacity acceleration.</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Peer Comparable-Company Market Data &amp; Multiples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contextualize Oracle’s valuation within the enterprise cloud and software sector, comparable market metrics were compiled for Microsoft (MSFT), Amazon (AMZN), Alphabet (GOOGL), SAP SE (SAP), Salesforce (CRM), and IBM (IBM).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fiscal year alignment, Oracle operates on a May 31 Fiscal Year End (FYE). Microsoft operates on a June 30 FYE, Salesforce on a January 31 FYE, while Amazon, Alphabet, SAP, and IBM operate on a December 31 Calendar FYE. Financial consensus data providers calculate Next-Twelve-Months (NTM) metrics on a rolling 4-quarter forward consensus basis (spanning the Q3 2026 through Q2 2027 calendar period) across all entities to maintain calendar-quarter alignment rather than relying on disparate fiscal year definitions.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 Company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Ticker</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Price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Cap</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Value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NTM Consensus Revenue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NTM Consensus EBITDA</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NTM Consensus EPS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EV / NTM EBITDA</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P / NTM EPS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NTM Window Basis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Provider &amp;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Oracle Corp</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ORCL</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$127.05</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$360.19B</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$445.64B</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$78.5B</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$32.4B</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$7.85</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13.76x</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16.18x</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NYSE / Barchart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Corp</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MSFT</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$390.34</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$2.90T</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$2.89T</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$318.0B</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$184.0B</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$16.88</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15.71x</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23.12x</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Morningstar / Finbox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Amazon.com Inc</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AMZN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$244.45</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$2.24T</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$710.0B</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$142.0B</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$6.80</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16.27x</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35.95x</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Trading Economics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Alphabet Inc</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$182.50</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$2.18T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$385.0B</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$138.0B</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$8.95</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15.80x</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20.39x</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Wall St / SEC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SAP SE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€212.40</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€183.29B</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€192.50B</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€38.2B</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€12.5B</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15.40x</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28.50x</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Trading Economics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Salesforce Inc</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CRM</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$242.10</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$144.41B</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$148.20B</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$41.5B</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$14.8B</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$11.20</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10.01x</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17.00x</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 / Finbox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IBM Corp</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IBM</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$210.50</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$193.70B</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$238.40B</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$66.8B</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$16.2B</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$10.85</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14.72x</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19.40x</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Rolling 4-Qtr Calendar</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Trading Economics</w:t>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trades at an EV/NTM EBITDA of 13.76x and a P/NTM EPS of 16.18x, placing its equity multiple at a discount to hyper-scale cloud peers Microsoft (23.12x P/E) and Alphabet (20.39x P/E). This discount persists despite Oracle projecting a higher organic top-line revenue growth rate (~34% constant currency guided for FY2027).</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valuation gap reflects market concern over Oracle's capital structure leverage and negative Free Cash Flow trajectory (-$23.7 billion in FY2026). While Microsoft and Alphabet fund their AI investments through organic cash generation, Oracle relies on external debt and preferred equity offerings. If Oracle converts its $638 billion Remaining Performance Obligations (RPO) backlog into high-margin cloud services, the stock has potential for valuation multiple expansion toward Microsoft's historical trading range.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Oracle Institutional Consensus &amp; Guidance Breakdown (FY2027 - FY2028)</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Oracle’s Q4 FY2026 earnings release and subsequent SEC filings set aggressive guidance targets for FY2027, underpinned by a 363% year-over-year surge in Remaining Performance Obligations (RPO) to $638 billion.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Metric</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FY2027 Q1 Target / Guidance</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FY2027 Full Year Consensus / Guidance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FY2028 Consensus / Target</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Document &amp; Provider</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Revenue</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 29% USD Growth (~$14.4B)</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 Billion (Confirmed Guidance)</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$108.5 Billion – $112.0 Billion</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Perplexity</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Non-GAAP EPS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 – $1.76</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$8.05 (Raised Guidance)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$9.85 – $10.20</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Perplexity</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GAAP EPS</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 – $1.20 (Est.)</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$6.25 – $6.50</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$7.80 – $8.20</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Consensus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Revenue Growth</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 64% YoY USD Growth</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55% Full Year Cloud Growth</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 40% YoY Cloud Growth</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Perplexity</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OCI Infrastructure Growth</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 90% YoY Growth</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 80% Full Year OCI Growth</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60% YoY OCI Growth</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Filing Analysis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Capital Expenditures</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~$16.0B – $18.0B</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 Billion Net Cash Capex</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~$45.0B – $50.0B Moderating Capex</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Perplexity / Analyst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guidance points to an asymmetrical revenue realization curve in FY2027. Top-line growth is expected to accelerate in the second half of FY2027 as over 1.2 gigawatts of newly constructed data center capacity comes online to service signed AI contracts.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Net capital expenditure is projected to peak at approximately $70.0 billion in FY2027 (up from $55.7 billion in FY2026). Consequently, Free Cash Flow (Operating\ Cash\ Flow - Capex) will remain negative through FY2027 before turning positive in FY2028 as infrastructure spending moderates relative to cloud cash collections.</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Oracle Mandatory Convertible Preferred Stock (Series D 6.50%)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February 2026, Oracle Corporation executed an equity capital raise by issuing $5.0 billion of mandatory convertible preferred stock structured as Depositary Shares to optimize institutional demand. Each Preferred Share has a liquidation preference of $100,000, which corresponds to 2,000 Depositary Shares at a $50 liquidation preference per Depositary Share.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 Capital Feature</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Specifications &amp; Terms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SEC Filing Document</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Filing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Exact Security Title</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6.50% Series D Mandatory Convertible Preferred Stock</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Trading Symbol</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ORCL-PRD (NYSE) / ORCL^D</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Nasdaq</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Offering Size</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Billion (100,000,000 Depositary Shares)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Prospectus Supplement 424B5</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Depositary Share Ratio</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1/2,000th interest in 1 share of Series D Preferred</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Liquidation 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 per Preferred Share ($50 per Depositary Share)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Dividend Rate &amp; Cadence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6.50% per annum ($3.25/yr per Depositary Share, Quarterly)</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Mandatory Conversion Date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business day following final VWAP period (~Jan 15, 2029)</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424B5 / Form 8-K</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2/5,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Conversion Averaging Period</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consecutive trading days ending Jan 15, 2029</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Minimum Conversion Rate</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499.8126 Common Shares per Preferred (0.2499 per Dep Share)</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FWP /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Maximum Conversion Rate</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624.7657 Common Shares per Preferred (0.3124 per Dep Share)</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FWP / Prospectus 424B5</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Price</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$160.06 per Common Share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FWP Pricing Term Sheet</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Threshold Appreciation Price</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$200.07 per Common Share (~25% appreciation premium)</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FWP Pricing Term Sheet</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 Registration Exhibits</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Certificate of Designations: Exhibit 3.1 to Form 8-K</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2026</w:t>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common shares issued upon mandatory conversion on January 15, 2029, depends on the Average Volume-Weighted Average Price (VWAP) of ORCL common stock during the 20-day final averaging period:</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stock price exceeds the Threshold Appreciation Price of $200.07, holders receive the Minimum Conversion Rate of 0.2499 common shares per Depositary Share (499.8126 shares per Preferred Share). Oracle delivers a maximum aggregate of approximately 25.0 million common shares, giving preferred holders appreciation upside up to $200.07 while capturing excess gains above $200.07 for common equity holders.</w:t>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stock price falls between the Initial Price of $160.06 and $200.07, holders receive a variable conversion rate equal to $50 divided by the Average VWAP. The value of common shares delivered equals the $50 liquidation preference.</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stock price drops below the Initial Price of $160.06, holders receive the Maximum Conversion Rate of 0.3124 common shares per Depositary Share (624.7657 shares per Preferred Share). Oracle delivers the maximum diluted share count of approximately 31.24 million common shares, protecting preferred holders against downside.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Certificate of Designations provides standard anti-dilution protections for stock splits, share combinations, rights issuances, and extraordinary cash dividends. Upon a Fundamental Change (such as a merger or change of control), holders have the right to convert early at an adjusted Make-Whole Conversion Rate determined via a straight-line interpolated pricing matrix based on the effective date and transaction equity value.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US GAAP (ASC 260), mandatory convertible preferred stock impacts diluted Earnings Per Share through the </w:t>
      </w:r>
      <w:r w:rsidDel="00000000" w:rsidR="00000000" w:rsidRPr="00000000">
        <w:rPr>
          <w:b w:val="1"/>
          <w:bCs w:val="1"/>
          <w:rtl w:val="0"/>
        </w:rPr>
        <w:t xml:space="preserve">If-Converted Method</w:t>
      </w:r>
      <w:r w:rsidDel="00000000" w:rsidR="00000000" w:rsidRPr="00000000">
        <w:rPr>
          <w:rtl w:val="0"/>
        </w:rPr>
        <w:t xml:space="preserve">. For the numerator adjustment, cumulative preferred dividends ($325 million annually across $5 billion preference value) are added back to net income available to common shareholders if the conversion is dilutive. For the denominator adjustment, the weighted-average share count increases by the number of common shares issuable upon conversion. Under ASC 260, the diluted share count calculation incorporates the variable share count based on the current market price of ORCL stock at each reporting date, bounded between the minimum (25.0 million shares) and maximum (31.24 million shares) dilution range.</w:t>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Post-FY2026 Q4 Material Updates &amp; Management Commentary Synthesis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release of Oracle’s FY2026 Q4 financial results on June 10, 2026, several strategic developments, capital markets transactions, and management disclosures have taken place.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 Specific Topic</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Update &amp; Transcribed Commentary</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Document / Transcript</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FY2027 Guidance Update</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FY2027 revenue guidance of $90B; raised non-GAAP EPS guidance to $8.05</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Earnings Release</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Debt &amp; ATM Financing Plan</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Raised $43B debt in FY26; planning ~$40B additional debt/equity financing in FY27</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 / Investor Release</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Credit Rating Actions</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Moody's/S&amp;P/Fitch maintaining investment grade ratings while monitoring leverage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 Agency Surveillance Reports</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GPU Utilization Ramp</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GPU cluster utilization reached 97.5% across &gt;1.2 GW of capacity delivered</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FY2026 Q4 Earnings Call Transcript</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Customer Hardware Accounting</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$75B in bring-your-own-hardware (BYOH) or prepaid customer contracts recorded ($67B signed in Q4)</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FY2026 Q4 Earnings Call Transcript</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Sustainable Capex Level</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capex peaks at ~$70B in FY27 before moderating toward maintenance levels</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FY2026 Q4 Earnings Call Transcript</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Oracle Health Profitability</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Cerner migration to OCI driving cost savings and operating margin expansion</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FY2025 Q3 - FY2026 Q4 Transcripts</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2025 – June 2026</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GPU capacity utilization and deployment, management confirmed that global GPU utilization stood at 97.5% throughout Q4 FY2026 across more than 1.2 gigawatts of installed power capacity. Capacity constraint, rather than customer demand, remains the primary gating factor for revenue growth. Revenue recognition is expected to step up as power interconnects and GPU cluster deliveries complete in H2 FY2027.</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Bring-Your-Own-Hardware (BYOH) accounting, Oracle signed $67 billion in AI infrastructure contracts during Q4 FY2026 alone, bringing total BYOH or prepaid customer hardware agreements to $75 billion. Under BYOH contracts, hyperscale clients supply or prepay for proprietary hardware accelerators. Oracle records zero upfront hardware inventory cost for customer-supplied units, hosting the equipment inside OCI data centers and recognizing high-margin infrastructure management revenue over the contract term.</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capital expenditures reached $55.7 billion in FY2026 and are projected to peak at approximately $70.0 billion in FY2027. Management clarified that this capital spend is front-loaded to acquire land, power, and shell data centers. Once data center shells are built, ongoing maintenance capex is projected to decline significantly as a percentage of cloud revenue, allowing free cash flow to turn positive in FY2028.</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Oracle Health (Cerner Turnaround), modernizing the Oracle Health EHR application suite onto OCI architecture is nearly complete. Eliminating legacy third-party data center overhead has expanded Oracle Health operational margins, turning the segment into an accretive growth driver alongside core database services.</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October 16, 2025 Financial Analyst Meeting Strategic Target Analysis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October 16, 2025, Oracle held its Financial Analyst Meeting, outlining its strategic vision, technology roadmap, and financial model targeting Fiscal Year 2030.</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Financial Target Metric</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FY2030 Management Target Figure</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FY2026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CAGR / Expansion Trajectory</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Document &amp; Presenter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Annual Revenue</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$225.0 Billion</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$67.4 Billion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Revenue CAGR</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Analyst Meeting Presentation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Non-GAAP EPS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$21.00 per share</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$7.63 per share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Non-GAAP EPS CAGR</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Analyst Meeting Presentation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OCI Revenue Target</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~$100.0B – $120.0B</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 Billion</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OCI Annual CAGR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Remaining Performance Obligations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Exceeding $500.0 Billion</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$638.0 Billion (Achieved FY26)</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Exceeded Early</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Analyst Meeting / SEC Form 8-K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OCI Gross Margin Outlook</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Step-down in FY27, expansion to ~65%+ by FY30</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(Infrastructure margin diluted by build)</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Long-Term Expansion</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Kehring Presentation Deck</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Clay Magouyrk’s presentation on OCI infrastructure expansion, management detailed how OCI's architectural design provides a cost and latency advantage over competing cloud platforms. By utilizing non-blocking RDMA (Remote Direct Memory Access) network fabrics and automated data center building blocks, OCI delivers AI training clusters at lower operational costs, driving customer migrations.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Larry Ellison’s presentation on database and multimodal AI strategy, he explained that Oracle’s core database architecture has been restructured into an AI Data Platform. By integrating Retrieval-Augmented Generation (RAG) capabilities directly within the Oracle AI Database, enterprise clients can connect proprietary datasets to LLMs without exposing sensitive data to external networks.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During the financial outlook session, management outlined a multi-year gross margin curve. Gross margins face pressure in FY2027 as data center facilities are constructed and brought online prior to full customer utilization. Once capacity reaches operational steady-state, high-margin cloud revenue streams drive structural margin expansion, targeting non-GAAP EPS of $21.00 by FY2030.</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Institutional Valuation Model Input Summary</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assist in dropping sourced figures directly into financial modeling software, the table below consolidates the core baseline inputs derived across this report.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Variable / Parameter</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Sourced Value / 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Source / SEC Citation</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As-Of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Share Price Reference</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$127.05 per share</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NYSE / Oracle Investor Relations</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21,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Basic Shares Outstanding</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2,880,471,000 shares</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10-K / Barchart</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Value (EV)</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$445,638,560,000</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Barchart Fundamental Data</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FY2027 Revenue Guidance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 Billion (+34% CC)</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FY2027 Non-GAAP EPS Guidance</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$8.05 per share</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Form 8-K</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FY2027 Net Capex Expectation</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 Billion</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Earnings Call Disclosure</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10,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D Mandatory Preferred</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Billion Preference Value</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Prospectus Supplement 424B5</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2,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FY2030 Long-Term Revenue Target</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$225.0 Billion (~31% CAGR)</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Analyst Meeting 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16, 2025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FY2030 Long-Term EPS Target</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$21.00 per share (~28% CAGR)</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Analyst Meeting 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16, 2025</w:t>
            </w:r>
          </w:p>
        </w:tc>
      </w:tr>
    </w:tbl>
    <w:p w:rsidR="00000000" w:rsidDel="00000000" w:rsidP="00000000" w:rsidRDefault="00000000" w:rsidRPr="00000000" w14:paraId="000001D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ORCL Stock Price Quote | Morningstar, https://www.morningstar.com/stocks/xnys/orcl/quote 2. Oracle Earnings Preview – High Implied Volatility Speaks Volumes | tastylive, https://www.tastylive.com/news-insights/oracle-earnings-preview-high-implied-volatility-speaks-volumes 3. Record cloud growth powers Oracle (NYSE: ORCL) to strong FY 2026, https://www.stocktitan.net/sec-filings/ORCL/8-k-oracle-corp-reports-material-event-808097bbcd84.html 4. Stock information - Oracle - Investor Relations, https://investor.oracle.com/stock-information/default.aspx 5. Oracle Corp (ORCL) Stock Price &amp; News - Google Finance, https://www.google.com/finance/beta/quote/ORCL:NYSE 6. ORCL Financials: Income Statement, Balance Sheet &amp; Cash Flow | Oracle Corp - Stock Titan, https://www.stocktitan.net/financials/ORCL/ 7. Oracle | 424B5: Prospectus - Moomoo, https://www.moomoo.com/news/notice/306408500/oracle-424b5-prospectus 8. ORCL Profile for Oracle Corp Stock - Barchart.com, https://www.barchart.com/stocks/quotes/ORCL/profile 9. Oracle Corporation Stock Price: Quote, Forecast, Splits &amp; News (ORCL) - Perplexity, https://www.perplexity.ai/finance/ORCL/earnings 10. ORCL Option Breakdown Oracle - Market Chameleon, https://marketchameleon.com/Overview/ORCL/OptionSummary/ 11. Oracle Corporation (ORCL) - Implied Volatility (Calls) (30-Day) - AlphaQuery, https://www.alphaquery.com/stock/ORCL/volatility-option-statistics/30-day/iv-call 12. Oracle | ORCL - Market Capitalization - Trading Economics, https://tradingeconomics.com/orcl:us:market-capitalization 13. MSFT Stock Price | Microsoft Corporation P/E, Revenue, EPS, &amp; Forecasts - Wealthyhood, https://wealthyhood.com/en/stocks/msft.nasdaq/ 14. Microsoft (NasdaqGS:MSFT) Stock Valuation, Peer Comparison &amp; Price Targets, https://simplywall.st/stocks/us/software/nasdaq-msft/microsoft/valuation 15. Alphabet Q2 2026 revenue hits $119.8B | GOOG 8-K Filing - Stock Titan, https://www.stocktitan.net/sec-filings/GOOG/8-k-alphabet-inc-reports-material-event-c600716f9a4d.html 16. Microsoft (MSFT) P/E Ratio: Current &amp; Historical Analysis, https://public.com/stocks/msft/pe-ratio 17. 424B5 - SEC.gov, https://www.sec.gov/Archives/edgar/data/1341439/000119312526037818/d60756d424b5.htm 18. Oracle stock offering oversubscribed as $5 billion convertible deal attracts strong demand, https://www.investing.com/news/stock-market-news/oracle-stock-offering-oversubscribed-as-5-billion-convertible-deal-attracts-strong-demand-93CH-4482346 19. FWP - SEC.gov, https://www.sec.gov/Archives/edgar/data/1341439/000119312526034351/d24013dfwp.htm 20. Oracle (ORCL) Investor Relations, Earnings Summary &amp; Outlook - Quartr, https://quartr.com/companies/oracle-corporation_5665 21. Oracle Financial Analyst Meeting 2025 - Clay Magouyrk, https://www.oracle.com/a/ocom/docs/corporate/financial-analyst-meeting-2025-magouyrk.pdf 22. Financial Analyst Meeting - Application Suites - Oracle, https://www.oracle.com/a/ocom/docs/corporate/financial-analyst-meeting-2025-sicilia.pdf 23. Oracle Financial Analyst Meeting, https://investor.oracle.com/events-and-presentations/event-details/2025/Oracle-Financial-Analyst-Meeting/default.aspx 24. Oracle Financial Analyst Meeting 2025 - Larry Ellison, https://www.oracle.com/a/ocom/docs/corporate/financial-analyst-meeting-2025-ellison.pdf 25. Oracle Financial Analyst Meeting 2025 - Doug Kehring, https://www.oracle.com/a/ocom/docs/corporate/financial-analyst-meeting-2025-kehring.pdf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