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ORCL — User Thesis and Questions</w:t>
      </w:r>
    </w:p>
    <w:p>
      <w:pPr>
        <w:spacing w:after="120"/>
      </w:pPr>
      <w:r>
        <w:rPr>
          <w:i/>
          <w:iCs/>
          <w:color w:val="666666"/>
        </w:rPr>
        <w:t xml:space="preserve">Fill this in before uploading. This is the context Claude needs to model against your actual thesis instead of a generic one.</w:t>
      </w:r>
    </w:p>
    <w:p>
      <w:pPr>
        <w:pStyle w:val="Heading1"/>
      </w:pPr>
      <w:r>
        <w:t xml:space="preserve">Why are you interested in Oracle?</w:t>
      </w:r>
    </w:p>
    <w:p>
      <w:pPr>
        <w:pBdr>
          <w:bottom w:val="single" w:color="AAAAAA" w:sz="4"/>
        </w:pBdr>
        <w:spacing w:after="200"/>
      </w:pPr>
      <w:r>
        <w:t xml:space="preserve">Optimistic on several tailwinds converging: OCI/cloud infrastructure growth (RPO backlog conversion, AI-training/inference workload capture), the multi-cloud database moat (Autonomous Database, Fusion/NetSuite applications stickiness), and a valuation/mean-reversion setup — I think fair value is significantly above the current price.</w:t>
      </w:r>
    </w:p>
    <w:p>
      <w:pPr>
        <w:pBdr>
          <w:bottom w:val="single" w:color="AAAAAA" w:sz="4"/>
        </w:pBdr>
        <w:spacing w:after="200"/>
      </w:pPr>
      <w:r>
        <w:t xml:space="preserve">The market is under-crediting the durability of the OCI buildout and database licensing base relative to the capex/leverage concerns currently pressuring the stock.</w:t>
      </w:r>
    </w:p>
    <w:p>
      <w:pPr>
        <w:pBdr>
          <w:bottom w:val="single" w:color="AAAAAA" w:sz="4"/>
        </w:pBdr>
        <w:spacing w:after="200"/>
      </w:pPr>
      <w:r>
        <w:t xml:space="preserve"> </w:t>
      </w:r>
    </w:p>
    <w:p>
      <w:pPr>
        <w:pBdr>
          <w:bottom w:val="single" w:color="AAAAAA" w:sz="4"/>
        </w:pBdr>
        <w:spacing w:after="200"/>
      </w:pPr>
      <w:r>
        <w:t xml:space="preserve"> </w:t>
      </w:r>
    </w:p>
    <w:p>
      <w:pPr>
        <w:pStyle w:val="Heading1"/>
      </w:pPr>
      <w:r>
        <w:t xml:space="preserve">Expected holding period</w:t>
      </w:r>
    </w:p>
    <w:p>
      <w:pPr>
        <w:pBdr>
          <w:bottom w:val="single" w:color="AAAAAA" w:sz="4"/>
        </w:pBdr>
        <w:spacing w:after="200"/>
      </w:pPr>
      <w:r>
        <w:t xml:space="preserve">Medium-term: 6–18 months.</w:t>
      </w:r>
    </w:p>
    <w:p>
      <w:pPr>
        <w:pStyle w:val="Heading1"/>
      </w:pPr>
      <w:r>
        <w:t xml:space="preserve">Initial year-end price narrative</w:t>
      </w:r>
    </w:p>
    <w:p>
      <w:pPr>
        <w:spacing w:after="120"/>
      </w:pPr>
      <w:r>
        <w:t xml:space="preserve">What price and why — the story, not just the number.</w:t>
      </w:r>
    </w:p>
    <w:p>
      <w:pPr>
        <w:pBdr>
          <w:bottom w:val="single" w:color="AAAAAA" w:sz="4"/>
        </w:pBdr>
        <w:spacing w:after="200"/>
      </w:pPr>
      <w:r>
        <w:t xml:space="preserve">Target: $150, reached within 2–3 quarters if not by year-end 2026.</w:t>
      </w:r>
    </w:p>
    <w:p>
      <w:pPr>
        <w:pBdr>
          <w:bottom w:val="single" w:color="AAAAAA" w:sz="4"/>
        </w:pBdr>
        <w:spacing w:after="200"/>
      </w:pPr>
      <w:r>
        <w:t xml:space="preserve">Thesis is multiple expansion, not primarily EPS growth: the market re-rates Oracle closer to hyperscaler/AI-infrastructure peer multiples as OCI and RPO conversion continue to prove out, easing the current leverage/capex-driven discount.</w:t>
      </w:r>
    </w:p>
    <w:p>
      <w:pPr>
        <w:pBdr>
          <w:bottom w:val="single" w:color="AAAAAA" w:sz="4"/>
        </w:pBdr>
        <w:spacing w:after="200"/>
      </w:pPr>
      <w:r>
        <w:t xml:space="preserve"> </w:t>
      </w:r>
    </w:p>
    <w:p>
      <w:pPr>
        <w:pBdr>
          <w:bottom w:val="single" w:color="AAAAAA" w:sz="4"/>
        </w:pBdr>
        <w:spacing w:after="200"/>
      </w:pPr>
      <w:r>
        <w:t xml:space="preserve"> </w:t>
      </w:r>
    </w:p>
    <w:p>
      <w:pPr>
        <w:pStyle w:val="Heading1"/>
      </w:pPr>
      <w:r>
        <w:t xml:space="preserve">What would invalidate your thesis?</w:t>
      </w:r>
    </w:p>
    <w:p>
      <w:pPr>
        <w:pBdr>
          <w:bottom w:val="single" w:color="AAAAAA" w:sz="4"/>
        </w:pBdr>
        <w:spacing w:after="200"/>
      </w:pPr>
      <w:r>
        <w:t xml:space="preserve">Balance-sheet/leverage stress: debt load or capex financing needs force dilutive equity issuance or a credit downgrade.</w:t>
      </w:r>
    </w:p>
    <w:p>
      <w:pPr>
        <w:pBdr>
          <w:bottom w:val="single" w:color="AAAAAA" w:sz="4"/>
        </w:pBdr>
        <w:spacing w:after="200"/>
      </w:pPr>
      <w:r>
        <w:t xml:space="preserve">AI capex bust: the broader AI infrastructure spending cycle cools, hitting Oracle's largest OCI/cloud deals.</w:t>
      </w:r>
    </w:p>
    <w:p>
      <w:pPr>
        <w:pBdr>
          <w:bottom w:val="single" w:color="AAAAAA" w:sz="4"/>
        </w:pBdr>
        <w:spacing w:after="200"/>
      </w:pPr>
      <w:r>
        <w:t xml:space="preserve">Margin compression: depreciation/opex from the capex buildout outpaces revenue growth and crushes GAAP margins.</w:t>
      </w:r>
    </w:p>
    <w:p>
      <w:pPr>
        <w:pBdr>
          <w:bottom w:val="single" w:color="AAAAAA" w:sz="4"/>
        </w:pBdr>
        <w:spacing w:after="200"/>
      </w:pPr>
      <w:r>
        <w:t xml:space="preserve"> </w:t>
      </w:r>
    </w:p>
    <w:p>
      <w:pPr>
        <w:pStyle w:val="Heading1"/>
      </w:pPr>
      <w:r>
        <w:t xml:space="preserve">Instrument</w:t>
      </w:r>
    </w:p>
    <w:p>
      <w:pPr>
        <w:spacing w:after="120"/>
      </w:pPr>
      <w:r>
        <w:t xml:space="preserve">Is this model for stock ownership, calls, or a call spread?</w:t>
      </w:r>
    </w:p>
    <w:p>
      <w:pPr>
        <w:pBdr>
          <w:bottom w:val="single" w:color="AAAAAA" w:sz="4"/>
        </w:pBdr>
        <w:spacing w:after="200"/>
      </w:pPr>
      <w:r>
        <w:t xml:space="preserve">Long calls.</w:t>
      </w:r>
    </w:p>
    <w:p>
      <w:pPr>
        <w:pStyle w:val="Heading1"/>
      </w:pPr>
      <w:r>
        <w:t xml:space="preserve">Maximum acceptable downside</w:t>
      </w:r>
    </w:p>
    <w:p>
      <w:pPr>
        <w:spacing w:after="120"/>
      </w:pPr>
      <w:r>
        <w:t xml:space="preserve">Dollar amount or % of position.</w:t>
      </w:r>
    </w:p>
    <w:p>
      <w:pPr>
        <w:pBdr>
          <w:bottom w:val="single" w:color="AAAAAA" w:sz="4"/>
        </w:pBdr>
        <w:spacing w:after="200"/>
      </w:pPr>
      <w:r>
        <w:t xml:space="preserve">Full premium — willing to lose 100% of the options premium paid; standard risk profile for a directional long-calls bet.</w:t>
      </w:r>
    </w:p>
    <w:p>
      <w:pPr>
        <w:pStyle w:val="Heading1"/>
      </w:pPr>
      <w:r>
        <w:t xml:space="preserve">Earnings dates you want price targets for</w:t>
      </w:r>
    </w:p>
    <w:p>
      <w:pPr>
        <w:spacing w:after="120"/>
      </w:pPr>
      <w:r>
        <w:t xml:space="preserve">List the four dates.</w:t>
      </w:r>
    </w:p>
    <w:p>
      <w:pPr>
        <w:pBdr>
          <w:bottom w:val="single" w:color="AAAAAA" w:sz="4"/>
        </w:pBdr>
        <w:spacing w:after="200"/>
      </w:pPr>
      <w:r>
        <w:t xml:space="preserve">FY27 Q1 (quarter ended Aug 31, 2026): 2026-09-10 — management-scheduled (per project_scope.md / Q-07).</w:t>
      </w:r>
    </w:p>
    <w:p>
      <w:pPr>
        <w:pBdr>
          <w:bottom w:val="single" w:color="AAAAAA" w:sz="4"/>
        </w:pBdr>
        <w:spacing w:after="200"/>
      </w:pPr>
      <w:r>
        <w:t xml:space="preserve">FY27 Q2 (quarter ended Nov 30, 2026): est. 2026-12-10 — estimate only (Q-07), based on Oracle's historical mid-December Q2 release pattern.</w:t>
      </w:r>
    </w:p>
    <w:p>
      <w:pPr>
        <w:pBdr>
          <w:bottom w:val="single" w:color="AAAAAA" w:sz="4"/>
        </w:pBdr>
        <w:spacing w:after="200"/>
      </w:pPr>
      <w:r>
        <w:t xml:space="preserve">FY27 Q3 (quarter ended Feb 28, 2027): est. 2027-03-10 — estimate only (Q-07), based on Oracle's historical mid-March Q3 release pattern.</w:t>
      </w:r>
    </w:p>
    <w:p>
      <w:pPr>
        <w:pBdr>
          <w:bottom w:val="single" w:color="AAAAAA" w:sz="4"/>
        </w:pBdr>
        <w:spacing w:after="200"/>
      </w:pPr>
      <w:r>
        <w:t xml:space="preserve">FY27 Q4 / FY27 annual (quarter ended May 31, 2027): est. 2027-06-10 — estimate only (Q-07), based on Oracle's historical mid-June Q4 release pattern.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2026-07-20T16:06:05.191Z</dcterms:created>
  <dcterms:modified xsi:type="dcterms:W3CDTF">2026-07-20T16:06:05.204Z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