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ORCL — Comparable Company Source Index</w:t>
      </w:r>
    </w:p>
    <w:p>
      <w:pPr>
        <w:spacing w:after="120"/>
      </w:pPr>
      <w:r>
        <w:rPr>
          <w:i/>
          <w:iCs/>
          <w:color w:val="666666"/>
        </w:rPr>
        <w:t xml:space="preserve">Use Gemini/ChatGPT deep-research comp tables first. Pull a specific peer filing below only when a number needs to be checked against a discrepancy.</w:t>
      </w:r>
    </w:p>
    <w:p>
      <w:pPr>
        <w:pStyle w:val="Heading1"/>
      </w:pPr>
      <w:r>
        <w:t xml:space="preserve">Microsoft</w:t>
      </w:r>
    </w:p>
    <w:p>
      <w:pPr>
        <w:spacing w:after="120"/>
      </w:pPr>
      <w:hyperlink w:history="1" r:id="rIdfo2pe0cqted3w1wvehwz8">
        <w:r>
          <w:rPr>
            <w:rStyle w:val="Hyperlink"/>
          </w:rPr>
          <w:t xml:space="preserve">Investor Relations</w:t>
        </w:r>
      </w:hyperlink>
    </w:p>
    <w:p>
      <w:pPr>
        <w:spacing w:after="120"/>
      </w:pPr>
      <w:r>
        <w:t xml:space="preserve">Use for: Azure growth, Microsoft Cloud margins, capital expenditures, leases, current earnings materials.</w:t>
      </w:r>
    </w:p>
    <w:p>
      <w:pPr>
        <w:pStyle w:val="Heading1"/>
      </w:pPr>
      <w:r>
        <w:t xml:space="preserve">Amazon</w:t>
      </w:r>
    </w:p>
    <w:p>
      <w:pPr>
        <w:spacing w:after="120"/>
      </w:pPr>
      <w:hyperlink w:history="1" r:id="rId5p50mc8n2gsc-f3fks1pi">
        <w:r>
          <w:rPr>
            <w:rStyle w:val="Hyperlink"/>
          </w:rPr>
          <w:t xml:space="preserve">Quarterly results</w:t>
        </w:r>
      </w:hyperlink>
    </w:p>
    <w:p>
      <w:pPr>
        <w:spacing w:after="120"/>
      </w:pPr>
      <w:hyperlink w:history="1" r:id="rIdgt79d-qiila0j5mtvfoyy">
        <w:r>
          <w:rPr>
            <w:rStyle w:val="Hyperlink"/>
          </w:rPr>
          <w:t xml:space="preserve">Annual reports</w:t>
        </w:r>
      </w:hyperlink>
    </w:p>
    <w:p>
      <w:pPr>
        <w:spacing w:after="120"/>
      </w:pPr>
      <w:r>
        <w:t xml:space="preserve">Use for: AWS growth, AWS operating margin, infrastructure spending, cloud capital intensity.</w:t>
      </w:r>
    </w:p>
    <w:p>
      <w:pPr>
        <w:pStyle w:val="Heading1"/>
      </w:pPr>
      <w:r>
        <w:t xml:space="preserve">Alphabet</w:t>
      </w:r>
    </w:p>
    <w:p>
      <w:pPr>
        <w:spacing w:after="120"/>
      </w:pPr>
      <w:hyperlink w:history="1" r:id="rIdhsqpijein0xtfh2uajfid">
        <w:r>
          <w:rPr>
            <w:rStyle w:val="Hyperlink"/>
          </w:rPr>
          <w:t xml:space="preserve">Earnings</w:t>
        </w:r>
      </w:hyperlink>
    </w:p>
    <w:p>
      <w:pPr>
        <w:spacing w:after="120"/>
      </w:pPr>
      <w:hyperlink w:history="1" r:id="rIdphtfxbfn54h_rndmivkyx">
        <w:r>
          <w:rPr>
            <w:rStyle w:val="Hyperlink"/>
          </w:rPr>
          <w:t xml:space="preserve">SEC filings</w:t>
        </w:r>
      </w:hyperlink>
    </w:p>
    <w:p>
      <w:pPr>
        <w:spacing w:after="120"/>
      </w:pPr>
      <w:r>
        <w:t xml:space="preserve">Use for: Google Cloud growth, margins, AI infrastructure spending, depreciation, net-cash valuation differences.</w:t>
      </w:r>
    </w:p>
    <w:p>
      <w:pPr>
        <w:pStyle w:val="Heading1"/>
      </w:pPr>
      <w:r>
        <w:t xml:space="preserve">SAP</w:t>
      </w:r>
    </w:p>
    <w:p>
      <w:pPr>
        <w:spacing w:after="120"/>
      </w:pPr>
      <w:hyperlink w:history="1" r:id="rIdtabsbbbivkuufvgc488n7">
        <w:r>
          <w:rPr>
            <w:rStyle w:val="Hyperlink"/>
          </w:rPr>
          <w:t xml:space="preserve">Financial documents</w:t>
        </w:r>
      </w:hyperlink>
    </w:p>
    <w:p>
      <w:pPr>
        <w:spacing w:after="120"/>
      </w:pPr>
      <w:r>
        <w:t xml:space="preserve">Use for: enterprise applications, cloud backlog, recurring software growth, application-software valuation.</w:t>
      </w:r>
    </w:p>
    <w:p>
      <w:pPr>
        <w:pStyle w:val="Heading1"/>
      </w:pPr>
      <w:r>
        <w:t xml:space="preserve">Salesforce</w:t>
      </w:r>
    </w:p>
    <w:p>
      <w:pPr>
        <w:spacing w:after="120"/>
      </w:pPr>
      <w:hyperlink w:history="1" r:id="rIdglq0zzitkiuayclqywhym">
        <w:r>
          <w:rPr>
            <w:rStyle w:val="Hyperlink"/>
          </w:rPr>
          <w:t xml:space="preserve">Financials</w:t>
        </w:r>
      </w:hyperlink>
    </w:p>
    <w:p>
      <w:pPr>
        <w:spacing w:after="120"/>
      </w:pPr>
      <w:hyperlink w:history="1" r:id="rIdcyodqpchwawqejj0hxzlk">
        <w:r>
          <w:rPr>
            <w:rStyle w:val="Hyperlink"/>
          </w:rPr>
          <w:t xml:space="preserve">SEC filings</w:t>
        </w:r>
      </w:hyperlink>
    </w:p>
    <w:p>
      <w:pPr>
        <w:spacing w:after="120"/>
      </w:pPr>
      <w:r>
        <w:t xml:space="preserve">Use for: SaaS growth, RPO, margins, stock compensation, application-software multiples.</w:t>
      </w:r>
    </w:p>
    <w:p>
      <w:pPr>
        <w:pStyle w:val="Heading1"/>
      </w:pPr>
      <w:r>
        <w:t xml:space="preserve">ServiceNow</w:t>
      </w:r>
    </w:p>
    <w:p>
      <w:pPr>
        <w:spacing w:after="120"/>
      </w:pPr>
      <w:hyperlink w:history="1" r:id="rId07xdzsveadz4ssyyib3oo">
        <w:r>
          <w:rPr>
            <w:rStyle w:val="Hyperlink"/>
          </w:rPr>
          <w:t xml:space="preserve">Financial performance</w:t>
        </w:r>
      </w:hyperlink>
    </w:p>
    <w:p>
      <w:pPr>
        <w:spacing w:after="120"/>
      </w:pPr>
      <w:hyperlink w:history="1" r:id="rIduyvkt3ynvgbeqdrsqw9pi">
        <w:r>
          <w:rPr>
            <w:rStyle w:val="Hyperlink"/>
          </w:rPr>
          <w:t xml:space="preserve">Events and presentations</w:t>
        </w:r>
      </w:hyperlink>
    </w:p>
    <w:p>
      <w:pPr>
        <w:spacing w:after="120"/>
      </w:pPr>
      <w:r>
        <w:t xml:space="preserve">Use as: premium enterprise-software reference for organic growth, subscription economics, high-margin recurring revenue.</w:t>
      </w:r>
    </w:p>
    <w:p>
      <w:pPr>
        <w:pStyle w:val="Heading1"/>
      </w:pPr>
      <w:r>
        <w:t xml:space="preserve">IBM</w:t>
      </w:r>
    </w:p>
    <w:p>
      <w:pPr>
        <w:spacing w:after="120"/>
      </w:pPr>
      <w:hyperlink w:history="1" r:id="rIdsrit8_-hatr4r5wyjcxax">
        <w:r>
          <w:rPr>
            <w:rStyle w:val="Hyperlink"/>
          </w:rPr>
          <w:t xml:space="preserve">Financial reporting</w:t>
        </w:r>
      </w:hyperlink>
    </w:p>
    <w:p>
      <w:pPr>
        <w:spacing w:after="120"/>
      </w:pPr>
      <w:r>
        <w:t xml:space="preserve">Use as: mature enterprise-infrastructure and installed-base reference, not a direct cloud-growth equivalent.</w:t>
      </w:r>
    </w:p>
    <w:p>
      <w:pPr>
        <w:pStyle w:val="Heading1"/>
      </w:pPr>
      <w:r>
        <w:t xml:space="preserve">CoreWeave</w:t>
      </w:r>
    </w:p>
    <w:p>
      <w:pPr>
        <w:spacing w:after="120"/>
      </w:pPr>
      <w:hyperlink w:history="1" r:id="rIdyepnizqmgrodgs283zlcl">
        <w:r>
          <w:rPr>
            <w:rStyle w:val="Hyperlink"/>
          </w:rPr>
          <w:t xml:space="preserve">Quarterly results</w:t>
        </w:r>
      </w:hyperlink>
    </w:p>
    <w:p>
      <w:pPr>
        <w:spacing w:after="120"/>
      </w:pPr>
      <w:hyperlink w:history="1" r:id="rIdef4q20yi_2axcacjnvux0">
        <w:r>
          <w:rPr>
            <w:rStyle w:val="Hyperlink"/>
          </w:rPr>
          <w:t xml:space="preserve">SEC filings</w:t>
        </w:r>
      </w:hyperlink>
    </w:p>
    <w:p>
      <w:pPr>
        <w:spacing w:after="120"/>
      </w:pPr>
      <w:r>
        <w:t xml:space="preserve">Use only as: AI-infrastructure reference for backlog, customer concentration, capital intensity, financing risk. Do not include unadjusted in Oracle's primary peer median.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o2pe0cqted3w1wvehwz8" Type="http://schemas.openxmlformats.org/officeDocument/2006/relationships/hyperlink" Target="https://www.microsoft.com/en-us/investor/" TargetMode="External"/><Relationship Id="rId5p50mc8n2gsc-f3fks1pi" Type="http://schemas.openxmlformats.org/officeDocument/2006/relationships/hyperlink" Target="https://ir.aboutamazon.com/quarterly-results/default.aspx" TargetMode="External"/><Relationship Id="rIdgt79d-qiila0j5mtvfoyy" Type="http://schemas.openxmlformats.org/officeDocument/2006/relationships/hyperlink" Target="https://ir.aboutamazon.com/annual-reports-proxies-and-shareholder-letters/default.aspx" TargetMode="External"/><Relationship Id="rIdhsqpijein0xtfh2uajfid" Type="http://schemas.openxmlformats.org/officeDocument/2006/relationships/hyperlink" Target="https://alphabet2025ir.q4web.com/investor/Earnings/default.aspx" TargetMode="External"/><Relationship Id="rIdphtfxbfn54h_rndmivkyx" Type="http://schemas.openxmlformats.org/officeDocument/2006/relationships/hyperlink" Target="https://alphabet2025ir.q4web.com/investor/sec-filings/default.aspx" TargetMode="External"/><Relationship Id="rIdtabsbbbivkuufvgc488n7" Type="http://schemas.openxmlformats.org/officeDocument/2006/relationships/hyperlink" Target="https://www.sap.com/investors/en/financial-documents-and-events.html" TargetMode="External"/><Relationship Id="rIdglq0zzitkiuayclqywhym" Type="http://schemas.openxmlformats.org/officeDocument/2006/relationships/hyperlink" Target="https://investor.salesforce.com/financials/default.aspx" TargetMode="External"/><Relationship Id="rIdcyodqpchwawqejj0hxzlk" Type="http://schemas.openxmlformats.org/officeDocument/2006/relationships/hyperlink" Target="https://investor.salesforce.com/financials/sec-filings/default.aspx" TargetMode="External"/><Relationship Id="rId07xdzsveadz4ssyyib3oo" Type="http://schemas.openxmlformats.org/officeDocument/2006/relationships/hyperlink" Target="https://investor.servicenow.com/financial-resources/financial-performance/default.aspx" TargetMode="External"/><Relationship Id="rIduyvkt3ynvgbeqdrsqw9pi" Type="http://schemas.openxmlformats.org/officeDocument/2006/relationships/hyperlink" Target="https://investor.servicenow.com/events-and-presentations/default.aspx" TargetMode="External"/><Relationship Id="rIdsrit8_-hatr4r5wyjcxax" Type="http://schemas.openxmlformats.org/officeDocument/2006/relationships/hyperlink" Target="https://www.ibm.com/investor/financial-reporting" TargetMode="External"/><Relationship Id="rIdyepnizqmgrodgs283zlcl" Type="http://schemas.openxmlformats.org/officeDocument/2006/relationships/hyperlink" Target="https://investors.coreweave.com/financials/quarterly-results/default.aspx" TargetMode="External"/><Relationship Id="rIdef4q20yi_2axcacjnvux0" Type="http://schemas.openxmlformats.org/officeDocument/2006/relationships/hyperlink" Target="https://investors.coreweave.com/financials/sec-filings/default.aspx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2026-07-20T16:06:05.224Z</dcterms:created>
  <dcterms:modified xsi:type="dcterms:W3CDTF">2026-07-20T16:06:05.224Z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