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2935" w14:textId="1F98C563" w:rsidR="002F4CA5" w:rsidRDefault="002F4CA5" w:rsidP="00972FAB">
      <w:pPr>
        <w:jc w:val="center"/>
        <w:rPr>
          <w:color w:val="000000" w:themeColor="text1"/>
        </w:rPr>
      </w:pPr>
      <w:r>
        <w:rPr>
          <w:color w:val="000000" w:themeColor="text1"/>
        </w:rPr>
        <w:t>ALTERNATIVE FIGURES</w:t>
      </w:r>
    </w:p>
    <w:p w14:paraId="2D47F122" w14:textId="3BFA83D6" w:rsidR="005C7191" w:rsidRDefault="005C7191" w:rsidP="002F4CA5">
      <w:pPr>
        <w:rPr>
          <w:color w:val="4472C4" w:themeColor="accent1"/>
          <w:sz w:val="22"/>
          <w:szCs w:val="22"/>
        </w:rPr>
      </w:pPr>
      <w:bookmarkStart w:id="0" w:name="_GoBack"/>
      <w:bookmarkEnd w:id="0"/>
    </w:p>
    <w:p w14:paraId="6D063C91" w14:textId="77777777" w:rsidR="005C7191" w:rsidRDefault="005C7191" w:rsidP="005C7191">
      <w:pPr>
        <w:rPr>
          <w:rFonts w:ascii="Arial" w:hAnsi="Arial" w:cs="Arial"/>
          <w:color w:val="00B0F0"/>
        </w:rPr>
      </w:pPr>
      <w:r>
        <w:rPr>
          <w:noProof/>
          <w:color w:val="000000" w:themeColor="text1"/>
        </w:rPr>
        <w:drawing>
          <wp:inline distT="0" distB="0" distL="0" distR="0" wp14:anchorId="129705BB" wp14:editId="46C3A54F">
            <wp:extent cx="5008266" cy="3597779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ort_tau_075_sah-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/>
                    <a:stretch/>
                  </pic:blipFill>
                  <pic:spPr bwMode="auto">
                    <a:xfrm>
                      <a:off x="0" y="0"/>
                      <a:ext cx="5020591" cy="360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E6C21" w14:textId="77777777" w:rsidR="005C7191" w:rsidRPr="00EA707A" w:rsidRDefault="005C7191" w:rsidP="005C7191">
      <w:pPr>
        <w:rPr>
          <w:color w:val="4472C4" w:themeColor="accent1"/>
          <w:sz w:val="22"/>
          <w:szCs w:val="22"/>
        </w:rPr>
      </w:pPr>
      <w:r w:rsidRPr="00EA707A">
        <w:rPr>
          <w:b/>
          <w:sz w:val="22"/>
          <w:szCs w:val="22"/>
        </w:rPr>
        <w:t>Figure 2</w:t>
      </w:r>
      <w:r w:rsidRPr="00EA707A">
        <w:rPr>
          <w:sz w:val="22"/>
          <w:szCs w:val="22"/>
        </w:rPr>
        <w:t>. Sex-assortativity</w:t>
      </w:r>
      <w:r>
        <w:rPr>
          <w:sz w:val="22"/>
          <w:szCs w:val="22"/>
        </w:rPr>
        <w:t xml:space="preserve"> (measured by Newman’s r, shown in colors)</w:t>
      </w:r>
      <w:r w:rsidRPr="00EA707A">
        <w:rPr>
          <w:sz w:val="22"/>
          <w:szCs w:val="22"/>
        </w:rPr>
        <w:t xml:space="preserve"> can amplify the effect of sex-traits on M:F case bias. Sex-traits</w:t>
      </w:r>
      <w:r>
        <w:rPr>
          <w:sz w:val="22"/>
          <w:szCs w:val="22"/>
        </w:rPr>
        <w:t xml:space="preserve"> (vertical columns)</w:t>
      </w:r>
      <w:r w:rsidRPr="00EA707A">
        <w:rPr>
          <w:sz w:val="22"/>
          <w:szCs w:val="22"/>
        </w:rPr>
        <w:t xml:space="preserve"> are infectious period (IP), susceptibility (SUS), and transmissibility (TRA). M:F case bias is measured as the ratio of male to female recoveries (SIR, SLIR) </w:t>
      </w:r>
      <w:r>
        <w:rPr>
          <w:sz w:val="22"/>
          <w:szCs w:val="22"/>
        </w:rPr>
        <w:t>or</w:t>
      </w:r>
      <w:r w:rsidRPr="00EA707A">
        <w:rPr>
          <w:sz w:val="22"/>
          <w:szCs w:val="22"/>
        </w:rPr>
        <w:t xml:space="preserve"> infections at equilibrium (SIRS, SLIRS). </w:t>
      </w:r>
      <w:r>
        <w:rPr>
          <w:sz w:val="22"/>
          <w:szCs w:val="22"/>
        </w:rPr>
        <w:t xml:space="preserve">The grey dashed line indicates equal levels of male and female infections and the red dashed line shows the global M:F case bias for TB. </w:t>
      </w:r>
      <w:r w:rsidRPr="00EA707A">
        <w:rPr>
          <w:sz w:val="22"/>
          <w:szCs w:val="22"/>
        </w:rPr>
        <w:t>Sex-traits are incorporated by holding</w:t>
      </w:r>
      <w:r>
        <w:rPr>
          <w:sz w:val="22"/>
          <w:szCs w:val="22"/>
        </w:rPr>
        <w:t xml:space="preserve"> respective</w:t>
      </w:r>
      <w:r w:rsidRPr="00EA707A">
        <w:rPr>
          <w:sz w:val="22"/>
          <w:szCs w:val="22"/>
        </w:rPr>
        <w:t xml:space="preserve"> overall parameter rates constant but </w:t>
      </w:r>
      <w:r>
        <w:rPr>
          <w:sz w:val="22"/>
          <w:szCs w:val="22"/>
        </w:rPr>
        <w:t>increasing the male parameter by the value on the x-axis relative to the female trait</w:t>
      </w:r>
      <w:r w:rsidRPr="00EA707A">
        <w:rPr>
          <w:sz w:val="22"/>
          <w:szCs w:val="22"/>
        </w:rPr>
        <w:t xml:space="preserve">. Figure generated with 100 simulations of epidemics on </w:t>
      </w:r>
      <w:proofErr w:type="spellStart"/>
      <w:r w:rsidRPr="00EA707A">
        <w:rPr>
          <w:sz w:val="22"/>
          <w:szCs w:val="22"/>
        </w:rPr>
        <w:t>Sah</w:t>
      </w:r>
      <w:proofErr w:type="spellEnd"/>
      <w:r w:rsidRPr="00EA707A">
        <w:rPr>
          <w:sz w:val="22"/>
          <w:szCs w:val="22"/>
        </w:rPr>
        <w:t xml:space="preserve"> networks with </w:t>
      </w:r>
      <m:oMath>
        <m:r>
          <w:rPr>
            <w:rFonts w:ascii="Cambria Math" w:hAnsi="Cambria Math"/>
            <w:sz w:val="22"/>
            <w:szCs w:val="22"/>
          </w:rPr>
          <m:t>τ=0.075</m:t>
        </m:r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≈2.5.</m:t>
        </m:r>
      </m:oMath>
    </w:p>
    <w:p w14:paraId="14A08475" w14:textId="77777777" w:rsidR="005C7191" w:rsidRPr="00EA707A" w:rsidRDefault="005C7191" w:rsidP="002F4CA5">
      <w:pPr>
        <w:rPr>
          <w:color w:val="4472C4" w:themeColor="accent1"/>
          <w:sz w:val="22"/>
          <w:szCs w:val="22"/>
        </w:rPr>
      </w:pPr>
    </w:p>
    <w:p w14:paraId="41E88586" w14:textId="57C97EC8" w:rsidR="002F4CA5" w:rsidRDefault="002F4CA5" w:rsidP="002F4CA5">
      <w:pPr>
        <w:rPr>
          <w:color w:val="000000" w:themeColor="text1"/>
        </w:rPr>
      </w:pPr>
    </w:p>
    <w:p w14:paraId="70973E74" w14:textId="77777777" w:rsidR="002F4CA5" w:rsidRDefault="002F4CA5" w:rsidP="00972FAB">
      <w:pPr>
        <w:jc w:val="center"/>
        <w:rPr>
          <w:color w:val="000000" w:themeColor="text1"/>
        </w:rPr>
      </w:pPr>
    </w:p>
    <w:p w14:paraId="5A0522CD" w14:textId="77777777" w:rsidR="00C23DBD" w:rsidRDefault="00C23DB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80F0A7B" w14:textId="3E86F22B" w:rsidR="00D15BE3" w:rsidRDefault="00206B22" w:rsidP="00972FAB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SUPPLEMENTAL</w:t>
      </w:r>
      <w:r w:rsidR="005130D9">
        <w:rPr>
          <w:color w:val="000000" w:themeColor="text1"/>
        </w:rPr>
        <w:t xml:space="preserve"> FIGURES</w:t>
      </w:r>
    </w:p>
    <w:p w14:paraId="65984286" w14:textId="77777777" w:rsidR="002F4CA5" w:rsidRDefault="002F4CA5" w:rsidP="00972FAB">
      <w:pPr>
        <w:jc w:val="center"/>
        <w:rPr>
          <w:color w:val="000000" w:themeColor="text1"/>
        </w:rPr>
      </w:pPr>
    </w:p>
    <w:p w14:paraId="2F2B5A05" w14:textId="77777777" w:rsidR="005D2CF8" w:rsidRDefault="005D2CF8" w:rsidP="005D2CF8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37C26E3" wp14:editId="6CEC9D8A">
            <wp:extent cx="4477997" cy="3078624"/>
            <wp:effectExtent l="0" t="0" r="5715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u_plot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72" cy="31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4656" w14:textId="5509D840" w:rsidR="005D2CF8" w:rsidRDefault="005D2CF8" w:rsidP="005D2CF8">
      <w:pP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Figure </w:t>
      </w:r>
      <w:r w:rsidR="00206B22" w:rsidRPr="00206B22">
        <w:rPr>
          <w:color w:val="000000" w:themeColor="text1"/>
          <w:highlight w:val="yellow"/>
        </w:rPr>
        <w:t>R0</w:t>
      </w:r>
      <w:r>
        <w:rPr>
          <w:color w:val="000000" w:themeColor="text1"/>
        </w:rPr>
        <w:t xml:space="preserve">. </w:t>
      </w:r>
      <w:r w:rsidRPr="00EF2C36">
        <w:rPr>
          <w:color w:val="000000" w:themeColor="text1"/>
        </w:rPr>
        <w:t xml:space="preserve">Comparison between analytically calculated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EF2C36">
        <w:rPr>
          <w:color w:val="000000" w:themeColor="text1"/>
        </w:rPr>
        <w:t xml:space="preserve"> (Kiss, Miller, Simon 2017) and simulated epidemic size on non-assorted and assorted networks. Horizontal grey line shows 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=1 </m:t>
        </m:r>
      </m:oMath>
      <w:r w:rsidRPr="00EF2C36">
        <w:rPr>
          <w:color w:val="000000" w:themeColor="text1"/>
        </w:rPr>
        <w:t>and where ending epidemic size &gt;</w:t>
      </w: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EF2C36">
        <w:rPr>
          <w:color w:val="000000" w:themeColor="text1"/>
        </w:rPr>
        <w:t xml:space="preserve">. Vertical grey line approximately 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Pr="00EF2C36">
        <w:rPr>
          <w:color w:val="000000" w:themeColor="text1"/>
        </w:rPr>
        <w:t xml:space="preserve">. Results are consistent for SIR and SLIR models. No sex-trait heterogeneity is included in these simulated data. Other parameters: </w:t>
      </w:r>
      <m:oMath>
        <m:r>
          <w:rPr>
            <w:rFonts w:ascii="Cambria Math" w:hAnsi="Cambria Math"/>
            <w:color w:val="000000" w:themeColor="text1"/>
          </w:rPr>
          <m:t xml:space="preserve"> γ=0.5,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=10. </m:t>
        </m:r>
      </m:oMath>
      <w:r>
        <w:rPr>
          <w:rFonts w:eastAsiaTheme="minorEastAsia"/>
          <w:color w:val="000000" w:themeColor="text1"/>
        </w:rPr>
        <w:t xml:space="preserve">For the SLIR model,  </w:t>
      </w:r>
      <m:oMath>
        <m:r>
          <w:rPr>
            <w:rFonts w:ascii="Cambria Math" w:hAnsi="Cambria Math"/>
            <w:color w:val="000000" w:themeColor="text1"/>
          </w:rPr>
          <m:t>σ=0.25</m:t>
        </m:r>
      </m:oMath>
      <w:r>
        <w:rPr>
          <w:rFonts w:eastAsiaTheme="minorEastAsia"/>
          <w:color w:val="000000" w:themeColor="text1"/>
        </w:rPr>
        <w:t xml:space="preserve">. </w:t>
      </w:r>
    </w:p>
    <w:p w14:paraId="6080257F" w14:textId="77777777" w:rsidR="005D2CF8" w:rsidRDefault="005D2CF8" w:rsidP="00CD27A4">
      <w:pPr>
        <w:jc w:val="center"/>
        <w:rPr>
          <w:color w:val="000000" w:themeColor="text1"/>
        </w:rPr>
      </w:pPr>
    </w:p>
    <w:p w14:paraId="4E398A08" w14:textId="77777777" w:rsidR="00D15BE3" w:rsidRDefault="00D15BE3" w:rsidP="005130D9">
      <w:pPr>
        <w:jc w:val="center"/>
        <w:rPr>
          <w:color w:val="000000" w:themeColor="text1"/>
        </w:rPr>
      </w:pPr>
    </w:p>
    <w:p w14:paraId="664F148B" w14:textId="77777777" w:rsidR="005D2CF8" w:rsidRDefault="005D2CF8" w:rsidP="005D2CF8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8A597AD" wp14:editId="23B87A47">
            <wp:extent cx="5195843" cy="3717586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ort_tau_075_all-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1"/>
                    <a:stretch/>
                  </pic:blipFill>
                  <pic:spPr bwMode="auto">
                    <a:xfrm>
                      <a:off x="0" y="0"/>
                      <a:ext cx="5208342" cy="372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3F689" w14:textId="74877061" w:rsidR="005D2CF8" w:rsidRDefault="005D2CF8" w:rsidP="005D2CF8">
      <w:pPr>
        <w:rPr>
          <w:rFonts w:eastAsiaTheme="minorEastAsia"/>
        </w:rPr>
      </w:pPr>
      <w:r>
        <w:rPr>
          <w:color w:val="000000" w:themeColor="text1"/>
        </w:rPr>
        <w:t xml:space="preserve">Figure </w:t>
      </w:r>
      <w:r w:rsidR="0025046C" w:rsidRPr="009D6A9E">
        <w:rPr>
          <w:color w:val="000000" w:themeColor="text1"/>
          <w:highlight w:val="yellow"/>
        </w:rPr>
        <w:t>NET_TYPE</w:t>
      </w:r>
      <w:r>
        <w:rPr>
          <w:color w:val="000000" w:themeColor="text1"/>
        </w:rPr>
        <w:t xml:space="preserve">. Assortativity had similar effects on male-bias in </w:t>
      </w:r>
      <w:proofErr w:type="spellStart"/>
      <w:r>
        <w:rPr>
          <w:color w:val="000000" w:themeColor="text1"/>
        </w:rPr>
        <w:t>Sah</w:t>
      </w:r>
      <w:proofErr w:type="spellEnd"/>
      <w:r>
        <w:rPr>
          <w:color w:val="000000" w:themeColor="text1"/>
        </w:rPr>
        <w:t xml:space="preserve"> and rewired networks despite rewired networks being variable in other network statistics as assortativity is increased (shown in Figure S1). The M:F case bias, sex-traits, and relative </w:t>
      </w:r>
      <w:proofErr w:type="spellStart"/>
      <w:r>
        <w:rPr>
          <w:color w:val="000000" w:themeColor="text1"/>
        </w:rPr>
        <w:t>male:female</w:t>
      </w:r>
      <w:proofErr w:type="spellEnd"/>
      <w:r>
        <w:rPr>
          <w:color w:val="000000" w:themeColor="text1"/>
        </w:rPr>
        <w:t xml:space="preserve"> values of sex-traits are the same as in Figure 1.  </w:t>
      </w:r>
      <w:r>
        <w:t>Figure generated with 100 SLIR simulations of epidemics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with </w:t>
      </w:r>
      <m:oMath>
        <m:r>
          <w:rPr>
            <w:rFonts w:ascii="Cambria Math" w:hAnsi="Cambria Math"/>
          </w:rPr>
          <m:t>τ=0.075</m:t>
        </m:r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≈2.5</m:t>
        </m:r>
      </m:oMath>
      <w:r>
        <w:rPr>
          <w:rFonts w:eastAsiaTheme="minorEastAsia"/>
        </w:rPr>
        <w:t xml:space="preserve">. </w:t>
      </w:r>
    </w:p>
    <w:p w14:paraId="3C492EA2" w14:textId="5E8EC5AE" w:rsidR="00080BD5" w:rsidRDefault="00080BD5" w:rsidP="005130D9">
      <w:pPr>
        <w:jc w:val="center"/>
        <w:rPr>
          <w:color w:val="000000" w:themeColor="text1"/>
        </w:rPr>
      </w:pPr>
    </w:p>
    <w:p w14:paraId="631AE5AA" w14:textId="77777777" w:rsidR="00080BD5" w:rsidRDefault="00080BD5" w:rsidP="00382B5D">
      <w:pPr>
        <w:jc w:val="center"/>
      </w:pPr>
      <w:r>
        <w:rPr>
          <w:noProof/>
        </w:rPr>
        <w:lastRenderedPageBreak/>
        <w:drawing>
          <wp:inline distT="0" distB="0" distL="0" distR="0" wp14:anchorId="3153D371" wp14:editId="3C04D09F">
            <wp:extent cx="5228093" cy="373451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t_structure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258" cy="374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9708" w14:textId="5D15BE73" w:rsidR="00080BD5" w:rsidRDefault="00080BD5" w:rsidP="00080BD5">
      <w:pPr>
        <w:rPr>
          <w:color w:val="000000" w:themeColor="text1"/>
        </w:rPr>
      </w:pPr>
      <w:r w:rsidRPr="003940A9">
        <w:rPr>
          <w:color w:val="000000" w:themeColor="text1"/>
        </w:rPr>
        <w:t xml:space="preserve">Figure </w:t>
      </w:r>
      <w:r w:rsidR="009D6A9E" w:rsidRPr="009D6A9E">
        <w:rPr>
          <w:color w:val="000000" w:themeColor="text1"/>
          <w:highlight w:val="yellow"/>
        </w:rPr>
        <w:t>NET_STR</w:t>
      </w:r>
      <w:r>
        <w:rPr>
          <w:color w:val="4472C4" w:themeColor="accent1"/>
        </w:rPr>
        <w:t xml:space="preserve">. </w:t>
      </w:r>
      <w:r>
        <w:t xml:space="preserve">We simulated TB spread on networks with varying assortativity generated by rewiring edges or with an algorithm developed by </w:t>
      </w:r>
      <w:proofErr w:type="spellStart"/>
      <w:r>
        <w:t>Sah</w:t>
      </w:r>
      <w:proofErr w:type="spellEnd"/>
      <w:r>
        <w:t xml:space="preserve"> et al. (2017). As assortativity increased, we measured changes in clustering (A), average path length (B), and degree assortativity (C) which can impact epidemic dynamics. The rewired small-world networks were especially vulnerable to disruptions in key network structures. </w:t>
      </w:r>
      <w:proofErr w:type="spellStart"/>
      <w:r>
        <w:t>Sah</w:t>
      </w:r>
      <w:proofErr w:type="spellEnd"/>
      <w:r>
        <w:t xml:space="preserve"> network structures were not affected by increases in assortativity. </w:t>
      </w:r>
    </w:p>
    <w:p w14:paraId="6C217182" w14:textId="44E0DC2F" w:rsidR="00F23FD0" w:rsidRDefault="00F23FD0" w:rsidP="0060697F">
      <w:pPr>
        <w:rPr>
          <w:color w:val="000000" w:themeColor="text1"/>
        </w:rPr>
      </w:pPr>
    </w:p>
    <w:p w14:paraId="016BC887" w14:textId="1EF8812B" w:rsidR="0046751F" w:rsidRDefault="0046751F" w:rsidP="0060697F">
      <w:pPr>
        <w:rPr>
          <w:color w:val="000000" w:themeColor="text1"/>
        </w:rPr>
      </w:pPr>
    </w:p>
    <w:p w14:paraId="3E8002D9" w14:textId="1D14E7DF" w:rsidR="0046751F" w:rsidRDefault="009D6A9E" w:rsidP="0060697F">
      <w:pPr>
        <w:rPr>
          <w:color w:val="000000" w:themeColor="text1"/>
        </w:rPr>
      </w:pPr>
      <w:r>
        <w:rPr>
          <w:color w:val="000000" w:themeColor="text1"/>
        </w:rPr>
        <w:t>{}</w:t>
      </w:r>
    </w:p>
    <w:p w14:paraId="48030685" w14:textId="19C418C1" w:rsidR="0046751F" w:rsidRDefault="0046751F" w:rsidP="0060697F">
      <w:pPr>
        <w:rPr>
          <w:color w:val="000000" w:themeColor="text1"/>
        </w:rPr>
      </w:pPr>
      <w:r>
        <w:rPr>
          <w:color w:val="000000" w:themeColor="text1"/>
        </w:rPr>
        <w:t xml:space="preserve">Figure </w:t>
      </w:r>
      <w:r w:rsidR="006E0E49">
        <w:rPr>
          <w:color w:val="000000" w:themeColor="text1"/>
        </w:rPr>
        <w:t>POWER</w:t>
      </w:r>
      <w:r>
        <w:rPr>
          <w:color w:val="000000" w:themeColor="text1"/>
        </w:rPr>
        <w:t xml:space="preserve">. Rewired scale-free </w:t>
      </w:r>
      <w:proofErr w:type="gramStart"/>
      <w:r>
        <w:rPr>
          <w:color w:val="000000" w:themeColor="text1"/>
        </w:rPr>
        <w:t>networks maintained</w:t>
      </w:r>
      <w:proofErr w:type="gramEnd"/>
      <w:r>
        <w:rPr>
          <w:color w:val="000000" w:themeColor="text1"/>
        </w:rPr>
        <w:t xml:space="preserve"> power-law degree distributions. </w:t>
      </w:r>
    </w:p>
    <w:p w14:paraId="71550F94" w14:textId="77777777" w:rsidR="00267094" w:rsidRDefault="0026709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A662BF7" w14:textId="77777777" w:rsidR="0048617A" w:rsidRPr="003635C8" w:rsidRDefault="0048617A" w:rsidP="0048617A">
      <w:pPr>
        <w:rPr>
          <w:rFonts w:eastAsiaTheme="minorEastAsia"/>
        </w:rPr>
      </w:pPr>
    </w:p>
    <w:p w14:paraId="1FCD4466" w14:textId="37FCDD87" w:rsidR="00F23FD0" w:rsidRDefault="00F23FD0" w:rsidP="0060697F">
      <w:pPr>
        <w:rPr>
          <w:color w:val="000000" w:themeColor="text1"/>
        </w:rPr>
      </w:pPr>
    </w:p>
    <w:p w14:paraId="5ACA464F" w14:textId="77777777" w:rsidR="00F23FD0" w:rsidRDefault="00F23FD0" w:rsidP="0060697F">
      <w:pPr>
        <w:rPr>
          <w:color w:val="000000" w:themeColor="text1"/>
        </w:rPr>
      </w:pPr>
    </w:p>
    <w:p w14:paraId="7998192F" w14:textId="4733B51B" w:rsidR="00F23FD0" w:rsidRDefault="000937AE" w:rsidP="00741F84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5B7A347" wp14:editId="10E42F35">
            <wp:extent cx="5036321" cy="377724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ent_sah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41" cy="37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BA66" w14:textId="72A23767" w:rsidR="00F23FD0" w:rsidRDefault="00F23FD0" w:rsidP="00382B5D">
      <w:pPr>
        <w:jc w:val="center"/>
        <w:rPr>
          <w:color w:val="000000" w:themeColor="text1"/>
        </w:rPr>
      </w:pPr>
    </w:p>
    <w:p w14:paraId="73EC7D5B" w14:textId="4BCD5638" w:rsidR="00A64CEA" w:rsidRDefault="00E321D9" w:rsidP="0060697F">
      <w:pPr>
        <w:rPr>
          <w:color w:val="000000" w:themeColor="text1"/>
        </w:rPr>
      </w:pPr>
      <w:r>
        <w:rPr>
          <w:color w:val="000000" w:themeColor="text1"/>
        </w:rPr>
        <w:t xml:space="preserve">Figure </w:t>
      </w:r>
      <w:r w:rsidR="006E0E49" w:rsidRPr="00C175B5">
        <w:rPr>
          <w:color w:val="000000" w:themeColor="text1"/>
          <w:highlight w:val="yellow"/>
        </w:rPr>
        <w:t>LATENT</w:t>
      </w:r>
      <w:r>
        <w:rPr>
          <w:color w:val="000000" w:themeColor="text1"/>
        </w:rPr>
        <w:t>. Globally, one-quarter of the world’s population has latent TB infection</w:t>
      </w:r>
      <w:r w:rsidR="008C3382">
        <w:rPr>
          <w:color w:val="000000" w:themeColor="text1"/>
        </w:rPr>
        <w:t xml:space="preserve"> (x-axis), the ratio of </w:t>
      </w:r>
      <w:proofErr w:type="spellStart"/>
      <w:r w:rsidR="008C3382">
        <w:rPr>
          <w:color w:val="000000" w:themeColor="text1"/>
        </w:rPr>
        <w:t>male:female</w:t>
      </w:r>
      <w:proofErr w:type="spellEnd"/>
      <w:r w:rsidR="008C3382">
        <w:rPr>
          <w:color w:val="000000" w:themeColor="text1"/>
        </w:rPr>
        <w:t xml:space="preserve"> case notifications is 1.8 (y-axis), and estimates of sex-assortativity suggest values from 0.2-0.4 (horizontal facets). The plot explores parameter combinations that are consistent with these three data points. Point color shows overall infection rate and point shape shows strength of sex-traits (vertical facets). Simulations from SLIRS model on </w:t>
      </w:r>
      <w:proofErr w:type="spellStart"/>
      <w:r w:rsidR="008C3382">
        <w:rPr>
          <w:color w:val="000000" w:themeColor="text1"/>
        </w:rPr>
        <w:t>Sah</w:t>
      </w:r>
      <w:proofErr w:type="spellEnd"/>
      <w:r w:rsidR="008C3382">
        <w:rPr>
          <w:color w:val="000000" w:themeColor="text1"/>
        </w:rPr>
        <w:t xml:space="preserve"> network. </w:t>
      </w:r>
    </w:p>
    <w:p w14:paraId="1F718002" w14:textId="46B7ACFD" w:rsidR="003F120E" w:rsidRDefault="003F120E" w:rsidP="0060697F">
      <w:pPr>
        <w:rPr>
          <w:color w:val="000000" w:themeColor="text1"/>
        </w:rPr>
      </w:pPr>
    </w:p>
    <w:p w14:paraId="0F744047" w14:textId="35855D78" w:rsidR="003F120E" w:rsidRDefault="003F120E" w:rsidP="0060697F">
      <w:pPr>
        <w:rPr>
          <w:color w:val="000000" w:themeColor="text1"/>
        </w:rPr>
      </w:pPr>
    </w:p>
    <w:p w14:paraId="58B5D933" w14:textId="585F8541" w:rsidR="003F120E" w:rsidRPr="0060697F" w:rsidRDefault="003F120E" w:rsidP="0060697F">
      <w:pPr>
        <w:rPr>
          <w:color w:val="000000" w:themeColor="text1"/>
        </w:rPr>
      </w:pPr>
    </w:p>
    <w:sectPr w:rsidR="003F120E" w:rsidRPr="0060697F" w:rsidSect="000A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60CA"/>
    <w:multiLevelType w:val="hybridMultilevel"/>
    <w:tmpl w:val="5CE40758"/>
    <w:lvl w:ilvl="0" w:tplc="10BC4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7F"/>
    <w:rsid w:val="00020474"/>
    <w:rsid w:val="00043F2B"/>
    <w:rsid w:val="00075C0C"/>
    <w:rsid w:val="00080BD5"/>
    <w:rsid w:val="000937AE"/>
    <w:rsid w:val="000A3D95"/>
    <w:rsid w:val="000D6229"/>
    <w:rsid w:val="000E4349"/>
    <w:rsid w:val="001513E8"/>
    <w:rsid w:val="001D5E06"/>
    <w:rsid w:val="001E1A11"/>
    <w:rsid w:val="001F1AC3"/>
    <w:rsid w:val="00204EEA"/>
    <w:rsid w:val="00206B22"/>
    <w:rsid w:val="00206D76"/>
    <w:rsid w:val="00207303"/>
    <w:rsid w:val="00207BA6"/>
    <w:rsid w:val="0025046C"/>
    <w:rsid w:val="0026192C"/>
    <w:rsid w:val="00267094"/>
    <w:rsid w:val="002A6627"/>
    <w:rsid w:val="002B13A7"/>
    <w:rsid w:val="002B2386"/>
    <w:rsid w:val="002F4CA5"/>
    <w:rsid w:val="00315520"/>
    <w:rsid w:val="0033711D"/>
    <w:rsid w:val="0034723D"/>
    <w:rsid w:val="0035431B"/>
    <w:rsid w:val="003635C8"/>
    <w:rsid w:val="003771BD"/>
    <w:rsid w:val="00382B5D"/>
    <w:rsid w:val="003940A9"/>
    <w:rsid w:val="003B64CC"/>
    <w:rsid w:val="003F120E"/>
    <w:rsid w:val="0041412A"/>
    <w:rsid w:val="004671C6"/>
    <w:rsid w:val="0046751F"/>
    <w:rsid w:val="0048617A"/>
    <w:rsid w:val="005068BD"/>
    <w:rsid w:val="005123FE"/>
    <w:rsid w:val="005130D9"/>
    <w:rsid w:val="0056164E"/>
    <w:rsid w:val="005A208D"/>
    <w:rsid w:val="005A2B0A"/>
    <w:rsid w:val="005C7191"/>
    <w:rsid w:val="005D2CF8"/>
    <w:rsid w:val="005D6448"/>
    <w:rsid w:val="005D6CAE"/>
    <w:rsid w:val="0060697F"/>
    <w:rsid w:val="006241AE"/>
    <w:rsid w:val="006E0E49"/>
    <w:rsid w:val="007124A0"/>
    <w:rsid w:val="00741F84"/>
    <w:rsid w:val="007720A4"/>
    <w:rsid w:val="007A0661"/>
    <w:rsid w:val="00850E5D"/>
    <w:rsid w:val="008A5325"/>
    <w:rsid w:val="008C3382"/>
    <w:rsid w:val="008F7B45"/>
    <w:rsid w:val="00972FAB"/>
    <w:rsid w:val="00974898"/>
    <w:rsid w:val="009769C7"/>
    <w:rsid w:val="00984590"/>
    <w:rsid w:val="00991F9A"/>
    <w:rsid w:val="009D6A9E"/>
    <w:rsid w:val="00A1273C"/>
    <w:rsid w:val="00A17FF7"/>
    <w:rsid w:val="00A64CEA"/>
    <w:rsid w:val="00A86D31"/>
    <w:rsid w:val="00A954AF"/>
    <w:rsid w:val="00A97E24"/>
    <w:rsid w:val="00AD2572"/>
    <w:rsid w:val="00AE1B52"/>
    <w:rsid w:val="00B611B9"/>
    <w:rsid w:val="00BA2CB1"/>
    <w:rsid w:val="00BD74F4"/>
    <w:rsid w:val="00BF7A26"/>
    <w:rsid w:val="00BF7FEC"/>
    <w:rsid w:val="00C175B5"/>
    <w:rsid w:val="00C23DBD"/>
    <w:rsid w:val="00CD224B"/>
    <w:rsid w:val="00CD27A4"/>
    <w:rsid w:val="00CE2F25"/>
    <w:rsid w:val="00CE665A"/>
    <w:rsid w:val="00D15BE3"/>
    <w:rsid w:val="00D772FE"/>
    <w:rsid w:val="00DA044E"/>
    <w:rsid w:val="00DA1051"/>
    <w:rsid w:val="00E03901"/>
    <w:rsid w:val="00E321D9"/>
    <w:rsid w:val="00E61862"/>
    <w:rsid w:val="00E62D4B"/>
    <w:rsid w:val="00E62DF5"/>
    <w:rsid w:val="00E72B70"/>
    <w:rsid w:val="00EC5DAF"/>
    <w:rsid w:val="00EF2C36"/>
    <w:rsid w:val="00F046C9"/>
    <w:rsid w:val="00F06D2F"/>
    <w:rsid w:val="00F23FD0"/>
    <w:rsid w:val="00FA37AD"/>
    <w:rsid w:val="00F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F4B"/>
  <w15:chartTrackingRefBased/>
  <w15:docId w15:val="{E824E67F-0E9D-D346-A588-7C750EE4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23F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94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0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0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2019-10-04T16:08:00Z</dcterms:created>
  <dcterms:modified xsi:type="dcterms:W3CDTF">2020-07-13T19:27:00Z</dcterms:modified>
</cp:coreProperties>
</file>