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Theme="majorEastAsia" w:hAnsiTheme="majorEastAsia" w:cstheme="majorEastAsia"/>
          <w:lang w:val="ru-RU"/>
        </w:rPr>
      </w:pPr>
      <w:r>
        <w:rPr>
          <w:rFonts w:hint="default" w:asciiTheme="majorEastAsia" w:hAnsiTheme="majorEastAsia" w:cstheme="majorEastAsia"/>
          <w:lang w:val="ru-RU"/>
        </w:rPr>
        <w:t>Лабораторная работа №1. Создание клиентского приложения по выполнению CRUD</w:t>
      </w:r>
      <w:r>
        <w:rPr>
          <w:rFonts w:hint="default" w:asciiTheme="majorEastAsia" w:hAnsiTheme="majorEastAsia" w:cstheme="majorEastAsia"/>
          <w:lang w:val="ru-RU"/>
        </w:rPr>
        <w:noBreakHyphen/>
      </w:r>
      <w:r>
        <w:rPr>
          <w:rFonts w:hint="default" w:asciiTheme="majorEastAsia" w:hAnsiTheme="majorEastAsia" w:cstheme="majorEastAsia"/>
          <w:lang w:val="ru-RU"/>
        </w:rPr>
        <w:t>операций на популярном информационном ресурсе</w:t>
      </w:r>
    </w:p>
    <w:p>
      <w:pPr>
        <w:pStyle w:val="5"/>
        <w:rPr>
          <w:lang w:val="ru-RU"/>
        </w:rPr>
      </w:pPr>
      <w:r>
        <w:rPr>
          <w:b/>
          <w:bCs/>
          <w:i/>
          <w:iCs/>
          <w:lang w:val="ru-RU"/>
        </w:rPr>
        <w:t xml:space="preserve">Цель: </w:t>
      </w:r>
      <w:r>
        <w:rPr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>
      <w:pPr>
        <w:pStyle w:val="5"/>
        <w:rPr>
          <w:lang w:val="ru-RU"/>
        </w:rPr>
      </w:pPr>
      <w:r>
        <w:rPr>
          <w:b/>
          <w:bCs/>
          <w:i/>
          <w:iCs/>
          <w:lang w:val="ru-RU"/>
        </w:rPr>
        <w:t xml:space="preserve">Формируемая компетенция: </w:t>
      </w:r>
      <w:r>
        <w:rPr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>
      <w:pPr>
        <w:pStyle w:val="5"/>
        <w:rPr>
          <w:lang w:val="ru-RU"/>
        </w:rPr>
      </w:pPr>
      <w:r>
        <w:rPr>
          <w:b/>
          <w:bCs/>
          <w:i/>
          <w:iCs/>
          <w:lang w:val="ru-RU"/>
        </w:rPr>
        <w:t xml:space="preserve">Организация выполнения работы: </w:t>
      </w:r>
      <w:r>
        <w:rPr>
          <w:lang w:val="ru-RU"/>
        </w:rPr>
        <w:t>Каждый студент выполняет инди</w:t>
      </w:r>
      <w:bookmarkStart w:id="0" w:name="_GoBack"/>
      <w:bookmarkEnd w:id="0"/>
      <w:r>
        <w:rPr>
          <w:lang w:val="ru-RU"/>
        </w:rPr>
        <w:t>видуальное задание.</w:t>
      </w:r>
    </w:p>
    <w:p>
      <w:pPr>
        <w:pStyle w:val="5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Требования к выполнению работы:</w:t>
      </w:r>
    </w:p>
    <w:p>
      <w:pPr>
        <w:pStyle w:val="5"/>
        <w:numPr>
          <w:ilvl w:val="0"/>
          <w:numId w:val="2"/>
        </w:numPr>
        <w:ind w:left="0" w:firstLine="240"/>
        <w:rPr>
          <w:lang w:val="ru-RU"/>
        </w:rPr>
      </w:pPr>
      <w:r>
        <w:rPr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>
        <w:rPr>
          <w:lang w:val="ru-RU"/>
        </w:rPr>
        <w:noBreakHyphen/>
      </w:r>
      <w:r>
        <w:rPr>
          <w:lang w:val="ru-RU"/>
        </w:rPr>
        <w:t xml:space="preserve">операций). </w:t>
      </w:r>
    </w:p>
    <w:p>
      <w:pPr>
        <w:pStyle w:val="5"/>
        <w:numPr>
          <w:ilvl w:val="0"/>
          <w:numId w:val="2"/>
        </w:numPr>
        <w:ind w:left="0" w:firstLine="240"/>
        <w:rPr>
          <w:lang w:val="ru-RU"/>
        </w:rPr>
      </w:pPr>
      <w:r>
        <w:rPr>
          <w:lang w:val="ru-RU"/>
        </w:rPr>
        <w:t>CRUD</w:t>
      </w:r>
      <w:r>
        <w:rPr>
          <w:lang w:val="ru-RU"/>
        </w:rPr>
        <w:noBreakHyphen/>
      </w:r>
      <w:r>
        <w:rPr>
          <w:lang w:val="ru-RU"/>
        </w:rPr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>
      <w:pPr>
        <w:pStyle w:val="5"/>
        <w:numPr>
          <w:ilvl w:val="0"/>
          <w:numId w:val="2"/>
        </w:numPr>
        <w:ind w:left="0" w:firstLine="240"/>
        <w:rPr>
          <w:lang w:val="ru-RU"/>
        </w:rPr>
      </w:pPr>
      <w:r>
        <w:rPr>
          <w:lang w:val="ru-RU"/>
        </w:rPr>
        <w:t>Должна быть возможность выполнения по крайней мере двух CRUD</w:t>
      </w:r>
      <w:r>
        <w:rPr>
          <w:lang w:val="ru-RU"/>
        </w:rPr>
        <w:noBreakHyphen/>
      </w:r>
      <w:r>
        <w:rPr>
          <w:lang w:val="ru-RU"/>
        </w:rPr>
        <w:t>операций для одного и того же объекта выбранного информационного ресурса.</w:t>
      </w:r>
    </w:p>
    <w:p>
      <w:pPr>
        <w:pStyle w:val="5"/>
        <w:rPr>
          <w:b/>
          <w:bCs/>
          <w:lang w:val="ru-RU"/>
        </w:rPr>
      </w:pPr>
      <w:r>
        <w:rPr>
          <w:b/>
          <w:bCs/>
          <w:lang w:val="ru-RU"/>
        </w:rPr>
        <w:t>Рекомендованная литература</w:t>
      </w:r>
    </w:p>
    <w:p>
      <w:pPr>
        <w:pStyle w:val="5"/>
        <w:numPr>
          <w:ilvl w:val="0"/>
          <w:numId w:val="3"/>
        </w:numPr>
        <w:ind w:left="0" w:firstLine="240"/>
        <w:rPr>
          <w:lang w:val="ru-RU"/>
        </w:rPr>
      </w:pPr>
      <w:r>
        <w:t xml:space="preserve">Методические рекомендации по публикации открытых данных государственными органами и органами местного самоуправления, а также технические требования к публикации открытых данных (Версия 3.0). URL: </w:t>
      </w:r>
      <w:r>
        <w:fldChar w:fldCharType="begin"/>
      </w:r>
      <w:r>
        <w:instrText xml:space="preserve"> HYPERLINK "http://docs.cntd.ru/document/456064146" </w:instrText>
      </w:r>
      <w:r>
        <w:fldChar w:fldCharType="separate"/>
      </w:r>
      <w:r>
        <w:rPr>
          <w:rStyle w:val="12"/>
          <w:lang w:val="ru-RU"/>
        </w:rPr>
        <w:t>http://docs.cntd.ru/document/456064146</w:t>
      </w:r>
      <w:r>
        <w:rPr>
          <w:rStyle w:val="12"/>
          <w:lang w:val="ru-RU"/>
        </w:rPr>
        <w:fldChar w:fldCharType="end"/>
      </w:r>
      <w:r>
        <w:rPr>
          <w:lang w:val="ru-RU"/>
        </w:rPr>
        <w:t xml:space="preserve">  </w:t>
      </w:r>
    </w:p>
    <w:p>
      <w:pPr>
        <w:pStyle w:val="5"/>
        <w:numPr>
          <w:ilvl w:val="0"/>
          <w:numId w:val="3"/>
        </w:numPr>
        <w:ind w:left="0" w:firstLine="240"/>
        <w:rPr>
          <w:lang w:val="ru-RU"/>
        </w:rPr>
      </w:pPr>
      <w:r>
        <w:rPr>
          <w:lang w:val="ru-RU"/>
        </w:rPr>
        <w:t xml:space="preserve">Открытые данные Пермского края. </w:t>
      </w:r>
      <w:r>
        <w:t xml:space="preserve">URL: </w:t>
      </w:r>
      <w:r>
        <w:fldChar w:fldCharType="begin"/>
      </w:r>
      <w:r>
        <w:instrText xml:space="preserve"> HYPERLINK "http://opendata.permkrai.ru/opendata/" </w:instrText>
      </w:r>
      <w:r>
        <w:fldChar w:fldCharType="separate"/>
      </w:r>
      <w:r>
        <w:rPr>
          <w:rStyle w:val="12"/>
          <w:lang w:val="ru-RU"/>
        </w:rPr>
        <w:t>http://opendata.permkrai.ru/opendata/</w:t>
      </w:r>
      <w:r>
        <w:rPr>
          <w:rStyle w:val="12"/>
          <w:lang w:val="ru-RU"/>
        </w:rPr>
        <w:fldChar w:fldCharType="end"/>
      </w:r>
      <w:r>
        <w:rPr>
          <w:lang w:val="ru-RU"/>
        </w:rPr>
        <w:t xml:space="preserve"> </w:t>
      </w:r>
    </w:p>
    <w:p>
      <w:pPr>
        <w:pStyle w:val="5"/>
        <w:numPr>
          <w:ilvl w:val="0"/>
          <w:numId w:val="3"/>
        </w:numPr>
        <w:ind w:left="0" w:firstLine="240"/>
        <w:rPr>
          <w:lang w:val="ru-RU"/>
        </w:rPr>
      </w:pPr>
      <w:r>
        <w:t xml:space="preserve">API Портала открытых данных РФ. Полное руководство. | Data.gov.ru URL: </w:t>
      </w:r>
      <w:r>
        <w:fldChar w:fldCharType="begin"/>
      </w:r>
      <w:r>
        <w:instrText xml:space="preserve"> HYPERLINK "https://data.gov.ru/api-portala-otkrytyh-dannyh-rf-polnoe-rukovodstvo" </w:instrText>
      </w:r>
      <w:r>
        <w:fldChar w:fldCharType="separate"/>
      </w:r>
      <w:r>
        <w:rPr>
          <w:rStyle w:val="12"/>
          <w:lang w:val="ru-RU"/>
        </w:rPr>
        <w:t>https://data.gov.ru/api-portala-otkrytyh-dannyh-rf-polnoe-rukovodstvo</w:t>
      </w:r>
      <w:r>
        <w:rPr>
          <w:rStyle w:val="12"/>
          <w:lang w:val="ru-RU"/>
        </w:rPr>
        <w:fldChar w:fldCharType="end"/>
      </w:r>
      <w:r>
        <w:rPr>
          <w:lang w:val="ru-RU"/>
        </w:rPr>
        <w:t xml:space="preserve"> </w:t>
      </w:r>
    </w:p>
    <w:p>
      <w:pPr>
        <w:pStyle w:val="5"/>
        <w:numPr>
          <w:ilvl w:val="0"/>
          <w:numId w:val="3"/>
        </w:numPr>
        <w:ind w:left="0" w:firstLine="240"/>
        <w:rPr>
          <w:lang w:val="ru-RU"/>
        </w:rPr>
      </w:pPr>
      <w:r>
        <w:rPr>
          <w:lang w:val="ru-RU"/>
        </w:rPr>
        <w:t xml:space="preserve">16 официальных порталов, где можно найти открытые данные. </w:t>
      </w:r>
      <w:r>
        <w:t xml:space="preserve">URL: </w:t>
      </w:r>
      <w:r>
        <w:fldChar w:fldCharType="begin"/>
      </w:r>
      <w:r>
        <w:instrText xml:space="preserve"> HYPERLINK "https://te-st.ru/2014/02/18/open-data-sources-russia/" </w:instrText>
      </w:r>
      <w:r>
        <w:fldChar w:fldCharType="separate"/>
      </w:r>
      <w:r>
        <w:rPr>
          <w:rStyle w:val="12"/>
          <w:lang w:val="ru-RU"/>
        </w:rPr>
        <w:t>https://te-st.ru/2014/02/18/open-data-sources-russia/</w:t>
      </w:r>
      <w:r>
        <w:rPr>
          <w:rStyle w:val="12"/>
          <w:lang w:val="ru-RU"/>
        </w:rPr>
        <w:fldChar w:fldCharType="end"/>
      </w:r>
      <w:r>
        <w:t xml:space="preserve"> </w:t>
      </w:r>
    </w:p>
    <w:p>
      <w:pPr>
        <w:pStyle w:val="5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Распределение баллов за выполнение работы (</w:t>
      </w:r>
      <w:r>
        <w:rPr>
          <w:lang w:val="ru-RU"/>
        </w:rPr>
        <w:t>Максимальное количество баллов — 10)</w:t>
      </w:r>
      <w:r>
        <w:rPr>
          <w:b/>
          <w:bCs/>
          <w:i/>
          <w:iCs/>
          <w:lang w:val="ru-RU"/>
        </w:rPr>
        <w:t>:</w:t>
      </w:r>
    </w:p>
    <w:tbl>
      <w:tblPr>
        <w:tblStyle w:val="13"/>
        <w:tblW w:w="9639" w:type="dxa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56"/>
        <w:gridCol w:w="27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tblHeader/>
          <w:jc w:val="center"/>
        </w:trPr>
        <w:tc>
          <w:tcPr>
            <w:tcW w:w="68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 к заданию</w:t>
            </w:r>
          </w:p>
        </w:tc>
        <w:tc>
          <w:tcPr>
            <w:tcW w:w="27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6856" w:type="dxa"/>
            <w:tcBorders>
              <w:top w:val="nil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both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Приложение позволяет выполнять CRUD</w:t>
            </w:r>
            <w:r>
              <w:rPr>
                <w:rFonts w:ascii="PT Serif" w:hAnsi="PT Serif"/>
                <w:sz w:val="22"/>
                <w:szCs w:val="22"/>
              </w:rPr>
              <w:noBreakHyphen/>
            </w:r>
            <w:r>
              <w:rPr>
                <w:rFonts w:ascii="PT Serif" w:hAnsi="PT Serif"/>
                <w:sz w:val="22"/>
                <w:szCs w:val="22"/>
              </w:rPr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(за каждый тип операции)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6856" w:type="dxa"/>
            <w:tcBorders>
              <w:top w:val="nil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6856" w:type="dxa"/>
            <w:tcBorders>
              <w:top w:val="nil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both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Приложение выполняет по крайней мере одну из CRUD</w:t>
            </w:r>
            <w:r>
              <w:rPr>
                <w:rFonts w:ascii="PT Serif" w:hAnsi="PT Serif"/>
                <w:sz w:val="22"/>
                <w:szCs w:val="22"/>
              </w:rPr>
              <w:noBreakHyphen/>
            </w:r>
            <w:r>
              <w:rPr>
                <w:rFonts w:ascii="PT Serif" w:hAnsi="PT Serif"/>
                <w:sz w:val="22"/>
                <w:szCs w:val="22"/>
              </w:rPr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6856" w:type="dxa"/>
            <w:tcBorders>
              <w:top w:val="nil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6856" w:type="dxa"/>
            <w:tcBorders>
              <w:top w:val="nil"/>
              <w:left w:val="single" w:color="000000" w:sz="0" w:space="0"/>
              <w:bottom w:val="single" w:color="000000" w:sz="0" w:space="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color="000000" w:sz="0" w:space="0"/>
              <w:bottom w:val="single" w:color="000000" w:sz="0" w:space="0"/>
              <w:right w:val="single" w:color="000000" w:sz="0" w:space="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5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>
      <w:pPr>
        <w:pStyle w:val="5"/>
        <w:ind w:left="-361"/>
      </w:pPr>
    </w:p>
    <w:sectPr>
      <w:footnotePr>
        <w:numFmt w:val="decimal"/>
      </w:footnotePr>
      <w:endnotePr>
        <w:numFmt w:val="decimal"/>
      </w:endnotePr>
      <w:type w:val="continuous"/>
      <w:pgSz w:w="11908" w:h="16840"/>
      <w:pgMar w:top="1134" w:right="1134" w:bottom="1134" w:left="1134" w:header="720" w:footer="720" w:gutter="0"/>
      <w:paperSrc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PT Sans">
    <w:altName w:val="Segoe Print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PT Serif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1" w:firstLine="0"/>
      </w:pPr>
    </w:lvl>
    <w:lvl w:ilvl="1" w:tentative="0">
      <w:start w:val="1"/>
      <w:numFmt w:val="decimal"/>
      <w:lvlText w:val="%2."/>
      <w:lvlJc w:val="left"/>
      <w:pPr>
        <w:ind w:left="721" w:firstLine="0"/>
      </w:pPr>
    </w:lvl>
    <w:lvl w:ilvl="2" w:tentative="0">
      <w:start w:val="1"/>
      <w:numFmt w:val="decimal"/>
      <w:lvlText w:val="%3."/>
      <w:lvlJc w:val="left"/>
      <w:pPr>
        <w:ind w:left="1081" w:firstLine="0"/>
      </w:pPr>
    </w:lvl>
    <w:lvl w:ilvl="3" w:tentative="0">
      <w:start w:val="1"/>
      <w:numFmt w:val="decimal"/>
      <w:lvlText w:val="%4."/>
      <w:lvlJc w:val="left"/>
      <w:pPr>
        <w:ind w:left="1441" w:firstLine="0"/>
      </w:pPr>
    </w:lvl>
    <w:lvl w:ilvl="4" w:tentative="0">
      <w:start w:val="1"/>
      <w:numFmt w:val="decimal"/>
      <w:lvlText w:val="%5."/>
      <w:lvlJc w:val="left"/>
      <w:pPr>
        <w:ind w:left="1801" w:firstLine="0"/>
      </w:pPr>
    </w:lvl>
    <w:lvl w:ilvl="5" w:tentative="0">
      <w:start w:val="1"/>
      <w:numFmt w:val="decimal"/>
      <w:lvlText w:val="%6."/>
      <w:lvlJc w:val="left"/>
      <w:pPr>
        <w:ind w:left="2161" w:firstLine="0"/>
      </w:pPr>
    </w:lvl>
    <w:lvl w:ilvl="6" w:tentative="0">
      <w:start w:val="1"/>
      <w:numFmt w:val="decimal"/>
      <w:lvlText w:val="%7."/>
      <w:lvlJc w:val="left"/>
      <w:pPr>
        <w:ind w:left="2521" w:firstLine="0"/>
      </w:pPr>
    </w:lvl>
    <w:lvl w:ilvl="7" w:tentative="0">
      <w:start w:val="1"/>
      <w:numFmt w:val="decimal"/>
      <w:lvlText w:val="%8."/>
      <w:lvlJc w:val="left"/>
      <w:pPr>
        <w:ind w:left="2881" w:firstLine="0"/>
      </w:pPr>
    </w:lvl>
    <w:lvl w:ilvl="8" w:tentative="0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lvlText w:val="%1"/>
      <w:lvlJc w:val="left"/>
      <w:pPr>
        <w:ind w:left="1" w:firstLine="0"/>
      </w:pPr>
    </w:lvl>
    <w:lvl w:ilvl="1" w:tentative="0">
      <w:start w:val="1"/>
      <w:numFmt w:val="none"/>
      <w:lvlText w:val="%2"/>
      <w:lvlJc w:val="left"/>
      <w:pPr>
        <w:ind w:left="1" w:firstLine="0"/>
      </w:pPr>
    </w:lvl>
    <w:lvl w:ilvl="2" w:tentative="0">
      <w:start w:val="1"/>
      <w:numFmt w:val="none"/>
      <w:lvlText w:val="%3"/>
      <w:lvlJc w:val="left"/>
      <w:pPr>
        <w:ind w:left="1" w:firstLine="0"/>
      </w:pPr>
    </w:lvl>
    <w:lvl w:ilvl="3" w:tentative="0">
      <w:start w:val="1"/>
      <w:numFmt w:val="none"/>
      <w:lvlText w:val="%4"/>
      <w:lvlJc w:val="left"/>
      <w:pPr>
        <w:ind w:left="1" w:firstLine="0"/>
      </w:pPr>
    </w:lvl>
    <w:lvl w:ilvl="4" w:tentative="0">
      <w:start w:val="1"/>
      <w:numFmt w:val="none"/>
      <w:lvlText w:val="%5"/>
      <w:lvlJc w:val="left"/>
      <w:pPr>
        <w:ind w:left="1" w:firstLine="0"/>
      </w:pPr>
    </w:lvl>
    <w:lvl w:ilvl="5" w:tentative="0">
      <w:start w:val="1"/>
      <w:numFmt w:val="none"/>
      <w:lvlText w:val="%6"/>
      <w:lvlJc w:val="left"/>
      <w:pPr>
        <w:ind w:left="1" w:firstLine="0"/>
      </w:pPr>
    </w:lvl>
    <w:lvl w:ilvl="6" w:tentative="0">
      <w:start w:val="1"/>
      <w:numFmt w:val="none"/>
      <w:lvlText w:val="%7"/>
      <w:lvlJc w:val="left"/>
      <w:pPr>
        <w:ind w:left="1" w:firstLine="0"/>
      </w:pPr>
    </w:lvl>
    <w:lvl w:ilvl="7" w:tentative="0">
      <w:start w:val="1"/>
      <w:numFmt w:val="none"/>
      <w:lvlText w:val="%8"/>
      <w:lvlJc w:val="left"/>
      <w:pPr>
        <w:ind w:left="1" w:firstLine="0"/>
      </w:pPr>
    </w:lvl>
    <w:lvl w:ilvl="8" w:tentative="0">
      <w:start w:val="1"/>
      <w:numFmt w:val="none"/>
      <w:lvlText w:val="%9"/>
      <w:lvlJc w:val="left"/>
      <w:pPr>
        <w:ind w:left="1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61" w:firstLine="0"/>
      </w:pPr>
    </w:lvl>
    <w:lvl w:ilvl="1" w:tentative="0">
      <w:start w:val="1"/>
      <w:numFmt w:val="decimal"/>
      <w:lvlText w:val="%2."/>
      <w:lvlJc w:val="left"/>
      <w:pPr>
        <w:ind w:left="721" w:firstLine="0"/>
      </w:pPr>
    </w:lvl>
    <w:lvl w:ilvl="2" w:tentative="0">
      <w:start w:val="1"/>
      <w:numFmt w:val="decimal"/>
      <w:lvlText w:val="%3."/>
      <w:lvlJc w:val="left"/>
      <w:pPr>
        <w:ind w:left="1081" w:firstLine="0"/>
      </w:pPr>
    </w:lvl>
    <w:lvl w:ilvl="3" w:tentative="0">
      <w:start w:val="1"/>
      <w:numFmt w:val="decimal"/>
      <w:lvlText w:val="%4."/>
      <w:lvlJc w:val="left"/>
      <w:pPr>
        <w:ind w:left="1441" w:firstLine="0"/>
      </w:pPr>
    </w:lvl>
    <w:lvl w:ilvl="4" w:tentative="0">
      <w:start w:val="1"/>
      <w:numFmt w:val="decimal"/>
      <w:lvlText w:val="%5."/>
      <w:lvlJc w:val="left"/>
      <w:pPr>
        <w:ind w:left="1801" w:firstLine="0"/>
      </w:pPr>
    </w:lvl>
    <w:lvl w:ilvl="5" w:tentative="0">
      <w:start w:val="1"/>
      <w:numFmt w:val="decimal"/>
      <w:lvlText w:val="%6."/>
      <w:lvlJc w:val="left"/>
      <w:pPr>
        <w:ind w:left="2161" w:firstLine="0"/>
      </w:pPr>
    </w:lvl>
    <w:lvl w:ilvl="6" w:tentative="0">
      <w:start w:val="1"/>
      <w:numFmt w:val="decimal"/>
      <w:lvlText w:val="%7."/>
      <w:lvlJc w:val="left"/>
      <w:pPr>
        <w:ind w:left="2521" w:firstLine="0"/>
      </w:pPr>
    </w:lvl>
    <w:lvl w:ilvl="7" w:tentative="0">
      <w:start w:val="1"/>
      <w:numFmt w:val="decimal"/>
      <w:lvlText w:val="%8."/>
      <w:lvlJc w:val="left"/>
      <w:pPr>
        <w:ind w:left="2881" w:firstLine="0"/>
      </w:pPr>
    </w:lvl>
    <w:lvl w:ilvl="8" w:tentative="0">
      <w:start w:val="1"/>
      <w:numFmt w:val="decimal"/>
      <w:lvlText w:val="%9."/>
      <w:lvlJc w:val="left"/>
      <w:pPr>
        <w:ind w:left="3601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autoHyphenation/>
  <w:drawingGridHorizontalSpacing w:val="283"/>
  <w:drawingGridVerticalSpacing w:val="283"/>
  <w:doNotShadeFormData w:val="1"/>
  <w:endnotePr>
    <w:numFmt w:val="decimal"/>
  </w:endnotePr>
  <w:compat>
    <w:doNotExpandShiftReturn/>
    <w:compatSetting w:name="compatibilityMode" w:uri="http://schemas.microsoft.com/office/word" w:val="12"/>
  </w:compat>
  <w:rsids>
    <w:rsidRoot w:val="00000000"/>
    <w:rsid w:val="02C00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Arial Unicode MS" w:cs="Arial Unicode M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Arial Unicode MS" w:cs="Arial Unicode MS"/>
      <w:kern w:val="1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qFormat/>
    <w:uiPriority w:val="0"/>
    <w:pPr>
      <w:numPr>
        <w:ilvl w:val="0"/>
        <w:numId w:val="1"/>
      </w:numPr>
      <w:ind w:left="432" w:hanging="431"/>
      <w:outlineLvl w:val="0"/>
    </w:pPr>
    <w:rPr>
      <w:b/>
      <w:bCs/>
      <w:sz w:val="36"/>
      <w:szCs w:val="36"/>
    </w:rPr>
  </w:style>
  <w:style w:type="paragraph" w:styleId="6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7">
    <w:name w:val="heading 3"/>
    <w:basedOn w:val="3"/>
    <w:next w:val="1"/>
    <w:qFormat/>
    <w:uiPriority w:val="0"/>
    <w:rPr>
      <w:rFonts w:ascii="PT Sans" w:hAnsi="PT Sans"/>
    </w:rPr>
  </w:style>
  <w:style w:type="character" w:default="1" w:styleId="11">
    <w:name w:val="Default Paragraph Font"/>
    <w:uiPriority w:val="0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Standard"/>
    <w:basedOn w:val="1"/>
    <w:qFormat/>
    <w:uiPriority w:val="0"/>
    <w:pPr>
      <w:widowControl/>
      <w:suppressAutoHyphens/>
    </w:pPr>
  </w:style>
  <w:style w:type="paragraph" w:customStyle="1" w:styleId="5">
    <w:name w:val="Text body"/>
    <w:basedOn w:val="4"/>
    <w:qFormat/>
    <w:uiPriority w:val="0"/>
    <w:pPr>
      <w:spacing w:after="142" w:line="288" w:lineRule="auto"/>
      <w:ind w:firstLine="240"/>
      <w:jc w:val="both"/>
    </w:pPr>
    <w:rPr>
      <w:rFonts w:ascii="PT Serif" w:hAnsi="PT Serif"/>
    </w:rPr>
  </w:style>
  <w:style w:type="paragraph" w:styleId="8">
    <w:name w:val="caption"/>
    <w:basedOn w:val="4"/>
    <w:next w:val="1"/>
    <w:qFormat/>
    <w:uiPriority w:val="0"/>
    <w:pPr>
      <w:spacing w:before="120" w:after="120"/>
    </w:pPr>
    <w:rPr>
      <w:i/>
      <w:iCs/>
      <w:sz w:val="24"/>
    </w:rPr>
  </w:style>
  <w:style w:type="paragraph" w:styleId="9">
    <w:name w:val="Title"/>
    <w:basedOn w:val="3"/>
    <w:next w:val="5"/>
    <w:qFormat/>
    <w:uiPriority w:val="0"/>
    <w:pPr>
      <w:jc w:val="center"/>
    </w:pPr>
    <w:rPr>
      <w:b/>
      <w:bCs/>
      <w:sz w:val="56"/>
      <w:szCs w:val="56"/>
    </w:rPr>
  </w:style>
  <w:style w:type="paragraph" w:styleId="10">
    <w:name w:val="List"/>
    <w:basedOn w:val="5"/>
    <w:qFormat/>
    <w:uiPriority w:val="0"/>
    <w:rPr>
      <w:sz w:val="24"/>
    </w:rPr>
  </w:style>
  <w:style w:type="character" w:styleId="12">
    <w:name w:val="Hyperlink"/>
    <w:uiPriority w:val="0"/>
    <w:rPr>
      <w:color w:val="0000FF"/>
      <w:u w:val="single" w:color="auto"/>
    </w:rPr>
  </w:style>
  <w:style w:type="paragraph" w:customStyle="1" w:styleId="14">
    <w:name w:val="Index"/>
    <w:basedOn w:val="4"/>
    <w:qFormat/>
    <w:uiPriority w:val="0"/>
    <w:rPr>
      <w:sz w:val="24"/>
    </w:rPr>
  </w:style>
  <w:style w:type="paragraph" w:customStyle="1" w:styleId="15">
    <w:name w:val="Table Contents"/>
    <w:basedOn w:val="4"/>
    <w:qFormat/>
    <w:uiPriority w:val="0"/>
  </w:style>
  <w:style w:type="paragraph" w:customStyle="1" w:styleId="16">
    <w:name w:val="Table Heading"/>
    <w:basedOn w:val="15"/>
    <w:qFormat/>
    <w:uiPriority w:val="0"/>
  </w:style>
  <w:style w:type="character" w:customStyle="1" w:styleId="17">
    <w:name w:val="Numbering Symbols"/>
    <w:uiPriority w:val="0"/>
  </w:style>
  <w:style w:type="character" w:customStyle="1" w:styleId="18">
    <w:name w:val="Internet link"/>
    <w:uiPriority w:val="0"/>
    <w:rPr>
      <w:color w:val="000080"/>
      <w:u w:val="single" w:color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Arial Unicode MS"/>
        <a:cs typeface="Arial Unicode MS"/>
      </a:majorFont>
      <a:minorFont>
        <a:latin typeface="Liberation Serif"/>
        <a:ea typeface="Arial Unicode MS"/>
        <a:cs typeface="Arial Unicode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2016-09-09T09:50:00Z</dcterms:created>
  <dc:creator>google1588616191</dc:creator>
  <cp:lastModifiedBy>google1588616191</cp:lastModifiedBy>
  <dcterms:modified xsi:type="dcterms:W3CDTF">2020-06-17T12:31:56Z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