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Lista: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Tiles som ser ut som man e i insidan av ett rör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Pushable blocks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Buttons that activate stuff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Things that are hot and ouchy no touchy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Timed danger lazers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Lista: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Tiles som ser ut som mark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Tiles som ser ut plattformar som rör sig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Lista: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Breakable tiles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Timed lazers of death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Shooty pointy ouchy?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Timed button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Rör tiles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Walking on tiles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Cogs? Ska de röra sig? Ska de göra något?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“Portal/dörrar”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Pushable box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Pressable knappar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Lista: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Place cog in more cogs to activate opening door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Pullable lever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Moving tiles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Lista: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40100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Lista: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Bollar som faller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3895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Tetris gravity to push buttonns?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