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CALLAUDIT</w:t>
      </w:r>
    </w:p>
    <w:p>
      <w:pPr>
        <w:jc w:val="center"/>
      </w:pPr>
      <w:r>
        <w:rPr>
          <w:b/>
          <w:sz w:val="28"/>
        </w:rPr>
        <w:t>Informe maestro de avance, diseño funcional y decisiones</w:t>
      </w:r>
    </w:p>
    <w:p>
      <w:pPr>
        <w:jc w:val="center"/>
      </w:pPr>
      <w:r>
        <w:rPr>
          <w:i/>
        </w:rPr>
        <w:t>Punto de referencia: 21 de octubre de 2026</w:t>
      </w:r>
    </w:p>
    <w:p>
      <w:pPr>
        <w:pStyle w:val="Heading1"/>
      </w:pPr>
      <w:r>
        <w:t>1. Propósito y alcance del documento</w:t>
      </w:r>
    </w:p>
    <w:p>
      <w:r>
        <w:t>Este informe consolida las decisiones funcionales y técnicas discutidas para CallAudit hasta el 21/10/2026. Su objetivo es servir como punto de referencia para continuar el trabajo sin repetir decisiones aprobadas ni convertir propuestas pendientes en requisitos definitivos.</w:t>
      </w:r>
    </w:p>
    <w:p>
      <w:r>
        <w:t>Estado de este documento: diseño funcional en consolidación. No representa una auditoría directa del repositorio ni de la base de datos en esta sesión. Antes de implementar, se contrastarán las decisiones con el código y el SQL vigentes en Git.</w:t>
      </w:r>
    </w:p>
    <w:p>
      <w:pPr>
        <w:pStyle w:val="ListBullet"/>
        <w:spacing w:after="40"/>
      </w:pPr>
      <w:r>
        <w:t>Las decisiones indicadas como aprobadas se consideran cerradas salvo que el usuario solicite cambiarlas.</w:t>
      </w:r>
    </w:p>
    <w:p>
      <w:pPr>
        <w:pStyle w:val="ListBullet"/>
        <w:spacing w:after="40"/>
      </w:pPr>
      <w:r>
        <w:t>Las propuestas pendientes requieren confirmación explícita.</w:t>
      </w:r>
    </w:p>
    <w:p>
      <w:pPr>
        <w:pStyle w:val="ListBullet"/>
        <w:spacing w:after="40"/>
      </w:pPr>
      <w:r>
        <w:t>No se ha modificado código, Git ni la base de datos como parte de este informe.</w:t>
      </w:r>
    </w:p>
    <w:p>
      <w:pPr>
        <w:pStyle w:val="Heading1"/>
      </w:pPr>
      <w:r>
        <w:t>2. Objetivo del producto</w:t>
      </w:r>
    </w:p>
    <w:p>
      <w:r>
        <w:t>CallAudit será una plataforma SaaS multiempresa para auditar la calidad de llamadas telefónicas mediante evaluaciones humanas, inteligencia artificial o ambas. Será independiente de la plataforma de telefonía y permitirá que cada empresa configure campañas, fuentes, formularios, etapas, criterios, proveedores de IA, límites, reportes y políticas operativas dentro de los permisos autorizados.</w:t>
      </w:r>
    </w:p>
    <w:p>
      <w:r>
        <w:t>La plataforma debe priorizar el rendimiento de la web, ejecutar trabajos pesados de manera asíncrona y poder crecer en capacidad y tecnologías sin rediseños estructurales innecesarios.</w:t>
      </w:r>
    </w:p>
    <w:p>
      <w:pPr>
        <w:pStyle w:val="Heading1"/>
      </w:pPr>
      <w:r>
        <w:t>3. Entorno y situación técnica conocida</w:t>
      </w:r>
    </w:p>
    <w:p>
      <w:pPr>
        <w:pStyle w:val="ListBullet"/>
        <w:spacing w:after="40"/>
      </w:pPr>
      <w:r>
        <w:t>Ruta local conocida: D:\Xampp\htdocs\callaudit</w:t>
      </w:r>
    </w:p>
    <w:p>
      <w:pPr>
        <w:pStyle w:val="ListBullet"/>
        <w:spacing w:after="40"/>
      </w:pPr>
      <w:r>
        <w:t>Repositorio GitHub: Drako2010/callaudit; rama main.</w:t>
      </w:r>
    </w:p>
    <w:p>
      <w:pPr>
        <w:pStyle w:val="ListBullet"/>
        <w:spacing w:after="40"/>
      </w:pPr>
      <w:r>
        <w:t>Entorno informado: XAMPP 8.2.12, PHP 8.2.12, MariaDB 10.4.32, phpMyAdmin 5.2.1.</w:t>
      </w:r>
    </w:p>
    <w:p>
      <w:pPr>
        <w:pStyle w:val="ListBullet"/>
        <w:spacing w:after="40"/>
      </w:pPr>
      <w:r>
        <w:t>Base de datos: callaudit.</w:t>
      </w:r>
    </w:p>
    <w:p>
      <w:pPr>
        <w:pStyle w:val="ListBullet"/>
        <w:spacing w:after="40"/>
      </w:pPr>
      <w:r>
        <w:t>Archivos SQL mencionados en antecedentes: callaudit.sql y callaudit01102026.sql. Se debe verificar cuál es el vigente y oficial en Git.</w:t>
      </w:r>
    </w:p>
    <w:p>
      <w:r>
        <w:rPr>
          <w:b/>
        </w:rPr>
        <w:t>Estructura</w:t>
      </w:r>
      <w:r>
        <w:t xml:space="preserve"> de módulos conocida de una revisión anterior:</w:t>
      </w:r>
    </w:p>
    <w:p>
      <w:pPr>
        <w:pStyle w:val="ListBullet"/>
        <w:spacing w:after="40"/>
      </w:pPr>
      <w:r>
        <w:t>Páginas principales: campañas, asignación de agentes, empresas, usuarios, login/logout y dashboard.</w:t>
      </w:r>
    </w:p>
    <w:p>
      <w:pPr>
        <w:pStyle w:val="ListBullet"/>
        <w:spacing w:after="40"/>
      </w:pPr>
      <w:r>
        <w:t>Controladores: CampaignController, CampaignUserController, TenantController y UserController.</w:t>
      </w:r>
    </w:p>
    <w:p>
      <w:pPr>
        <w:pStyle w:val="ListBullet"/>
        <w:spacing w:after="40"/>
      </w:pPr>
      <w:r>
        <w:t>Modelos: Campaign, CampaignUser, Permission, Role, Tenant y User.</w:t>
      </w:r>
    </w:p>
    <w:p>
      <w:pPr>
        <w:pStyle w:val="ListBullet"/>
        <w:spacing w:after="40"/>
      </w:pPr>
      <w:r>
        <w:t>Servicios: AuthMiddleware, Authorization, AuthService y SessionService.</w:t>
      </w:r>
    </w:p>
    <w:p>
      <w:r>
        <w:t>Tablas existentes conocidas: tenants, users, roles, permissions, role_permissions, user_roles, user_permissions, campaigns y campaign_users. Esta lista debe verificarse contra el SQL actual antes de implementar.</w:t>
      </w:r>
    </w:p>
    <w:p>
      <w:r>
        <w:t>La autenticación, las sesiones, empresas, usuarios, roles, permisos, campañas y asignaciones de agentes se han probado y el usuario confirmó que las pruebas actuales estaban correctas. No reabrir esas pruebas sin un motivo técnico concreto.</w:t>
      </w:r>
    </w:p>
    <w:p>
      <w:r>
        <w:t>Aún no se han confirmado tablas específicas de llamadas, archivos de audio, formularios, etapas, tareas de evaluación, resultados de IA/humanos o reportes. Su existencia se comprobará en el SQL real.</w:t>
      </w:r>
    </w:p>
    <w:p>
      <w:pPr>
        <w:pStyle w:val="Heading1"/>
      </w:pPr>
      <w:r>
        <w:t>4. Empresas, usuarios, roles y aislamiento</w:t>
      </w:r>
    </w:p>
    <w:p>
      <w:pPr>
        <w:pStyle w:val="ListBullet"/>
        <w:spacing w:after="40"/>
      </w:pPr>
      <w:r>
        <w:t>SUPERADMIN/SUPERGLOBAL administra la plataforma global.</w:t>
      </w:r>
    </w:p>
    <w:p>
      <w:pPr>
        <w:pStyle w:val="ListBullet"/>
        <w:spacing w:after="40"/>
      </w:pPr>
      <w:r>
        <w:t>ADMIN/GLOBAL administra su propia empresa, no otras empresas.</w:t>
      </w:r>
    </w:p>
    <w:p>
      <w:pPr>
        <w:pStyle w:val="ListBullet"/>
        <w:spacing w:after="40"/>
      </w:pPr>
      <w:r>
        <w:t>La creación de usuarios dentro de una empresa está limitada a los roles/permisos autorizados y nunca permite crear usuarios en otro tenant sin autorización global.</w:t>
      </w:r>
    </w:p>
    <w:p>
      <w:pPr>
        <w:pStyle w:val="ListBullet"/>
        <w:spacing w:after="40"/>
      </w:pPr>
      <w:r>
        <w:t>Dos usuarios SUPERVISOR de una misma empresa pueden tener permisos diferentes.</w:t>
      </w:r>
    </w:p>
    <w:p>
      <w:pPr>
        <w:pStyle w:val="ListBullet"/>
        <w:spacing w:after="40"/>
      </w:pPr>
      <w:r>
        <w:t>Los permisos deben comprobarse en el servidor y aplicarse también a consultas, exportaciones, audios, tareas asíncronas y trabajos de fondo.</w:t>
      </w:r>
    </w:p>
    <w:p>
      <w:pPr>
        <w:pStyle w:val="ListBullet"/>
        <w:spacing w:after="40"/>
      </w:pPr>
      <w:r>
        <w:t>No modificar los roles ni permisos existentes sin contrastar la base actual y aprobar una matriz específica para los nuevos módulos.</w:t>
      </w:r>
    </w:p>
    <w:p>
      <w:r>
        <w:t>La matriz concreta de permisos de auditoría continúa pendiente. No está aprobado que un SUPERVISOR pueda realizar todas las acciones de auditoría por defecto.</w:t>
      </w:r>
    </w:p>
    <w:p>
      <w:pPr>
        <w:pStyle w:val="Heading1"/>
      </w:pPr>
      <w:r>
        <w:t>5. Campañas, fuentes telefónicas e ingesta</w:t>
      </w:r>
    </w:p>
    <w:p>
      <w:pPr>
        <w:pStyle w:val="ListBullet"/>
        <w:spacing w:after="40"/>
      </w:pPr>
      <w:r>
        <w:t>Cada empresa podrá administrar varias campañas y utilizar varias fuentes o servidores simultáneamente.</w:t>
      </w:r>
    </w:p>
    <w:p>
      <w:pPr>
        <w:pStyle w:val="ListBullet"/>
        <w:spacing w:after="40"/>
      </w:pPr>
      <w:r>
        <w:t>Fuentes iniciales: Asterisk, Vicidial e Issabel, con posibilidad de incorporar otras.</w:t>
      </w:r>
    </w:p>
    <w:p>
      <w:pPr>
        <w:pStyle w:val="ListBullet"/>
        <w:spacing w:after="40"/>
      </w:pPr>
      <w:r>
        <w:t>Métodos de conexión previstos: API, acceso de solo lectura a bases externas, CDR, exportaciones, CSV/Excel y registro manual.</w:t>
      </w:r>
    </w:p>
    <w:p>
      <w:pPr>
        <w:pStyle w:val="ListBullet"/>
        <w:spacing w:after="40"/>
      </w:pPr>
      <w:r>
        <w:t>La capa de integración normalizará los datos, registrará identificadores externos, controlará duplicados y aislará los fallos por fuente.</w:t>
      </w:r>
    </w:p>
    <w:p>
      <w:pPr>
        <w:pStyle w:val="ListBullet"/>
        <w:spacing w:after="40"/>
      </w:pPr>
      <w:r>
        <w:t>La selección de llamadas podrá ser manual, aleatoria, basada en reglas o automática/continua; se podrán combinar métodos.</w:t>
      </w:r>
    </w:p>
    <w:p>
      <w:pPr>
        <w:pStyle w:val="ListBullet"/>
        <w:spacing w:after="40"/>
      </w:pPr>
      <w:r>
        <w:t>La importación y validación se ejecutarán de forma asíncrona.</w:t>
      </w:r>
    </w:p>
    <w:p>
      <w:pPr>
        <w:pStyle w:val="ListBullet"/>
        <w:spacing w:after="40"/>
      </w:pPr>
      <w:r>
        <w:t>El buscador dedicado de audios se pospuso a un segundo proyecto; la gestión de audio sí forma parte esencial del flujo de auditoría.</w:t>
      </w:r>
    </w:p>
    <w:p>
      <w:pPr>
        <w:pStyle w:val="Heading1"/>
      </w:pPr>
      <w:r>
        <w:t>6. Audio y almacenamiento</w:t>
      </w:r>
    </w:p>
    <w:p>
      <w:pPr>
        <w:pStyle w:val="ListBullet"/>
        <w:spacing w:after="40"/>
      </w:pPr>
      <w:r>
        <w:t>CallAudit almacenará o copiará los audios a un almacenamiento propio para no depender permanentemente del servidor telefónico.</w:t>
      </w:r>
    </w:p>
    <w:p>
      <w:pPr>
        <w:pStyle w:val="ListBullet"/>
        <w:spacing w:after="40"/>
      </w:pPr>
      <w:r>
        <w:t>Se contemplan disco/local, NAS y almacenamiento externo compatible con S3.</w:t>
      </w:r>
    </w:p>
    <w:p>
      <w:pPr>
        <w:pStyle w:val="ListBullet"/>
        <w:spacing w:after="40"/>
      </w:pPr>
      <w:r>
        <w:t>Los archivos de audio se gestionarán separadamente de los metadatos y de la entidad llamada.</w:t>
      </w:r>
    </w:p>
    <w:p>
      <w:pPr>
        <w:pStyle w:val="ListBullet"/>
        <w:spacing w:after="40"/>
      </w:pPr>
      <w:r>
        <w:t>Los metadatos deben permitir relacionar empresa, campaña, agente, llamada, fuente y archivo.</w:t>
      </w:r>
    </w:p>
    <w:p>
      <w:pPr>
        <w:pStyle w:val="ListBullet"/>
        <w:spacing w:after="40"/>
      </w:pPr>
      <w:r>
        <w:t>El sistema debe soportar reproducción, transcripción, evidencias temporales, análisis de IA y funciones futuras.</w:t>
      </w:r>
    </w:p>
    <w:p>
      <w:pPr>
        <w:pStyle w:val="ListBullet"/>
        <w:spacing w:after="40"/>
      </w:pPr>
      <w:r>
        <w:t>La base de datos normalmente guardará metadatos y referencias, no el contenido binario de los audios.</w:t>
      </w:r>
    </w:p>
    <w:p>
      <w:pPr>
        <w:pStyle w:val="ListBullet"/>
        <w:spacing w:after="40"/>
      </w:pPr>
      <w:r>
        <w:t>Se prevén cuotas de capacidad, alertas, importaciones validadas y reproducción mediante streaming.</w:t>
      </w:r>
    </w:p>
    <w:p>
      <w:pPr>
        <w:pStyle w:val="ListBullet"/>
        <w:spacing w:after="40"/>
      </w:pPr>
      <w:r>
        <w:t>La retención será configurable por empresa, con excepciones para auditorías, revisiones o investigaciones abiertas.</w:t>
      </w:r>
    </w:p>
    <w:p>
      <w:pPr>
        <w:pStyle w:val="ListBullet"/>
        <w:spacing w:after="40"/>
      </w:pPr>
      <w:r>
        <w:t>Se registrarán eliminaciones manuales y automáticas, distinguiendo borrado lógico y físico; los backups tendrán su propia política.</w:t>
      </w:r>
    </w:p>
    <w:p>
      <w:pPr>
        <w:pStyle w:val="Heading1"/>
      </w:pPr>
      <w:r>
        <w:t>7. Formularios, preguntas y puntuación</w:t>
      </w:r>
    </w:p>
    <w:p>
      <w:r>
        <w:t>Cada empresa podrá diseñar sus propios formularios, preguntas y criterios, sin depender de un catálogo fijo obligatorio de CallAudit.</w:t>
      </w:r>
    </w:p>
    <w:p>
      <w:r>
        <w:t>Estructura prevista: formulario → versión → secciones → preguntas/criterios → respuestas, puntuaciones y evidencias.</w:t>
      </w:r>
    </w:p>
    <w:p>
      <w:pPr>
        <w:pStyle w:val="ListBullet"/>
        <w:spacing w:after="40"/>
      </w:pPr>
      <w:r>
        <w:t>Las versiones históricas deben permanecer inmutables para que los cambios no alteren auditorías ya realizadas.</w:t>
      </w:r>
    </w:p>
    <w:p>
      <w:pPr>
        <w:pStyle w:val="ListBullet"/>
        <w:spacing w:after="40"/>
      </w:pPr>
      <w:r>
        <w:t>Tipos de respuesta previstos: Sí/No; Sí/No/N/A; selección única o múltiple; escala; puntaje numérico; texto; fecha/hora; valor numérico y opciones con puntuaciones distintas.</w:t>
      </w:r>
    </w:p>
    <w:p>
      <w:pPr>
        <w:pStyle w:val="ListBullet"/>
        <w:spacing w:after="40"/>
      </w:pPr>
      <w:r>
        <w:t>Cada pregunta puede configurar texto, instrucciones, sección, orden, estado, tipo, rango, puntuación automática o manual, peso, obligatoriedad, validaciones, regla crítica, evidencia, observaciones y condiciones.</w:t>
      </w:r>
    </w:p>
    <w:p>
      <w:pPr>
        <w:pStyle w:val="ListBullet"/>
        <w:spacing w:after="40"/>
      </w:pPr>
      <w:r>
        <w:t>La IA podrá tener instrucciones específicas por criterio, proponer puntuaciones dentro del rango y adjuntar confianza/evidencias.</w:t>
      </w:r>
    </w:p>
    <w:p>
      <w:pPr>
        <w:pStyle w:val="ListBullet"/>
        <w:spacing w:after="40"/>
      </w:pPr>
      <w:r>
        <w:t>Se admiten puntuación automática por respuesta —por ejemplo, Sí=100 y No=0— y puntuación manual por rango —por ejemplo, 0–5 o 0–100—.</w:t>
      </w:r>
    </w:p>
    <w:p>
      <w:pPr>
        <w:pStyle w:val="ListBullet"/>
        <w:spacing w:after="40"/>
      </w:pPr>
      <w:r>
        <w:t>Se recomienda que los pesos de los criterios puntuables sumen 100% dentro del ámbito de cálculo.</w:t>
      </w:r>
    </w:p>
    <w:p>
      <w:pPr>
        <w:pStyle w:val="ListBullet"/>
        <w:spacing w:after="40"/>
      </w:pPr>
      <w:r>
        <w:t>N/A tendrá una política configurable: excluir y redistribuir pesos; prohibir N/A; o exigir revisión antes de calcular.</w:t>
      </w:r>
    </w:p>
    <w:p>
      <w:pPr>
        <w:pStyle w:val="ListBullet"/>
        <w:spacing w:after="40"/>
      </w:pPr>
      <w:r>
        <w:t>Los criterios críticos pueden causar desaprobación automática, exigir evidencia o revisión, o activar otras reglas configuradas.</w:t>
      </w:r>
    </w:p>
    <w:p>
      <w:pPr>
        <w:pStyle w:val="ListBullet"/>
        <w:spacing w:after="40"/>
      </w:pPr>
      <w:r>
        <w:t>La puntuación numérica y el veredicto de aprobación/desaprobación serán campos conceptualmente separados.</w:t>
      </w:r>
    </w:p>
    <w:p>
      <w:pPr>
        <w:pStyle w:val="Heading1"/>
      </w:pPr>
      <w:r>
        <w:t>8. Etapas y flujo de auditoría</w:t>
      </w:r>
    </w:p>
    <w:p>
      <w:pPr>
        <w:pStyle w:val="ListBullet"/>
        <w:spacing w:after="40"/>
      </w:pPr>
      <w:r>
        <w:t>Cada empresa podrá configurar una, dos, tres o más etapas. No se codificará una cantidad fija de etapas.</w:t>
      </w:r>
    </w:p>
    <w:p>
      <w:pPr>
        <w:pStyle w:val="ListBullet"/>
        <w:spacing w:after="40"/>
      </w:pPr>
      <w:r>
        <w:t>Las etapas pueden representar evaluación, revisión, reevaluación, calibración, aprobación u otros procesos.</w:t>
      </w:r>
    </w:p>
    <w:p>
      <w:pPr>
        <w:pStyle w:val="ListBullet"/>
        <w:spacing w:after="40"/>
      </w:pPr>
      <w:r>
        <w:t>Cada etapa puede utilizar IA, humanos o ambos. La IA se recomienda para la primera etapa, pero es opcional y puede ubicarse en otras.</w:t>
      </w:r>
    </w:p>
    <w:p>
      <w:pPr>
        <w:pStyle w:val="ListBullet"/>
        <w:spacing w:after="40"/>
      </w:pPr>
      <w:r>
        <w:t>Cada ejecución y revisión conserva su historial; no se sobrescriben resultados previos.</w:t>
      </w:r>
    </w:p>
    <w:p>
      <w:pPr>
        <w:pStyle w:val="ListBullet"/>
        <w:spacing w:after="40"/>
      </w:pPr>
      <w:r>
        <w:t>La etapa finalizada no se reabre silenciosamente. Las correcciones y reevaluaciones deben quedar enlazadas al historial.</w:t>
      </w:r>
    </w:p>
    <w:p>
      <w:pPr>
        <w:pStyle w:val="ListBullet"/>
        <w:spacing w:after="40"/>
      </w:pPr>
      <w:r>
        <w:t>El resultado final puede depender de una etapa designada, la última, una agregación, una revisión autorizada u otra regla configurable.</w:t>
      </w:r>
    </w:p>
    <w:p>
      <w:pPr>
        <w:pStyle w:val="ListBullet"/>
        <w:spacing w:after="40"/>
      </w:pPr>
      <w:r>
        <w:t>Se distinguen estados de llamada/audio, tarea de evaluación y proceso de auditoría.</w:t>
      </w:r>
    </w:p>
    <w:p>
      <w:pPr>
        <w:pStyle w:val="ListBullet"/>
        <w:spacing w:after="40"/>
      </w:pPr>
      <w:r>
        <w:t>La selección de llamadas admite métodos manuales, aleatorios, por reglas y automáticos/continuos.</w:t>
      </w:r>
    </w:p>
    <w:p>
      <w:pPr>
        <w:pStyle w:val="ListBullet"/>
        <w:spacing w:after="40"/>
      </w:pPr>
      <w:r>
        <w:t>Asignación de tareas prevista: manual, equitativa, por carga, por reglas de campaña/equipo/idioma/competencias/permisos; con prioridad, plazos, capacidad y reasignación trazable.</w:t>
      </w:r>
    </w:p>
    <w:p>
      <w:pPr>
        <w:pStyle w:val="ListBullet"/>
        <w:spacing w:after="40"/>
      </w:pPr>
      <w:r>
        <w:t>Las etapas transicionan según reglas configurables; puede haber ejecución secuencial o paralela según la etapa.</w:t>
      </w:r>
    </w:p>
    <w:p>
      <w:pPr>
        <w:pStyle w:val="ListBullet"/>
        <w:spacing w:after="40"/>
      </w:pPr>
      <w:r>
        <w:t>Los errores de fuente, audio, IA, evaluación incompleta o cambios de formulario deben tratarse con reintentos limitados, registro y reglas de recuperación.</w:t>
      </w:r>
    </w:p>
    <w:p>
      <w:pPr>
        <w:pStyle w:val="Heading1"/>
      </w:pPr>
      <w:r>
        <w:t>9. IA, transcripción, proveedores y costes</w:t>
      </w:r>
    </w:p>
    <w:p>
      <w:pPr>
        <w:pStyle w:val="ListBullet"/>
        <w:spacing w:after="40"/>
      </w:pPr>
      <w:r>
        <w:t>El trabajo de IA se ejecutará asíncronamente, fuera de las peticiones web normales.</w:t>
      </w:r>
    </w:p>
    <w:p>
      <w:pPr>
        <w:pStyle w:val="ListBullet"/>
        <w:spacing w:after="40"/>
      </w:pPr>
      <w:r>
        <w:t>Cada empresa decide si activa IA y en qué etapas, y selecciona proveedores gratuitos, de pago o una combinación dentro de las opciones autorizadas.</w:t>
      </w:r>
    </w:p>
    <w:p>
      <w:pPr>
        <w:pStyle w:val="ListBullet"/>
        <w:spacing w:after="40"/>
      </w:pPr>
      <w:r>
        <w:t>No se cambiará automáticamente a un proveedor de pago sin autorización expresa de la empresa.</w:t>
      </w:r>
    </w:p>
    <w:p>
      <w:pPr>
        <w:pStyle w:val="ListBullet"/>
        <w:spacing w:after="40"/>
      </w:pPr>
      <w:r>
        <w:t>La transcripción y la evaluación son tareas separadas. Si falla la evaluación, se conserva la transcripción y se reintenta la evaluación cuando corresponda.</w:t>
      </w:r>
    </w:p>
    <w:p>
      <w:pPr>
        <w:pStyle w:val="ListBullet"/>
        <w:spacing w:after="40"/>
      </w:pPr>
      <w:r>
        <w:t>Se conservarán proveedor, modelo, versión, configuración, resultados, evidencias, fragmentos de transcripción, marcas de tiempo y confianza.</w:t>
      </w:r>
    </w:p>
    <w:p>
      <w:pPr>
        <w:pStyle w:val="ListBullet"/>
        <w:spacing w:after="40"/>
      </w:pPr>
      <w:r>
        <w:t>Se aplicarán límites de consumo, cuotas, control de costes, privacidad y retención según proveedor.</w:t>
      </w:r>
    </w:p>
    <w:p>
      <w:r>
        <w:rPr>
          <w:b/>
        </w:rPr>
        <w:t>Política</w:t>
      </w:r>
      <w:r>
        <w:t xml:space="preserve"> aprobada cuando se agota la cuota gratuita:</w:t>
      </w:r>
    </w:p>
    <w:p>
      <w:pPr>
        <w:pStyle w:val="ListBullet"/>
        <w:spacing w:after="40"/>
      </w:pPr>
      <w:r>
        <w:t>A) Pausar hasta restablecimiento o cambio de configuración.</w:t>
      </w:r>
    </w:p>
    <w:p>
      <w:pPr>
        <w:pStyle w:val="ListBullet"/>
        <w:spacing w:after="40"/>
      </w:pPr>
      <w:r>
        <w:t>B) Cambiar a otro proveedor gratuito previamente autorizado; si no existe, pausar.</w:t>
      </w:r>
    </w:p>
    <w:p>
      <w:pPr>
        <w:pStyle w:val="ListBullet"/>
        <w:spacing w:after="40"/>
      </w:pPr>
      <w:r>
        <w:t>C) Usar proveedor de pago solo con autorización expresa y límite de gasto.</w:t>
      </w:r>
    </w:p>
    <w:p>
      <w:pPr>
        <w:pStyle w:val="ListBullet"/>
        <w:spacing w:after="40"/>
      </w:pPr>
      <w:r>
        <w:t>La empresa define opciones y orden. Registrar consumo, proveedores, errores y pausas. Los reintentos son limitados y no deben bloquear la web.</w:t>
      </w:r>
    </w:p>
    <w:p>
      <w:pPr>
        <w:pStyle w:val="ListBullet"/>
        <w:spacing w:after="40"/>
      </w:pPr>
      <w:r>
        <w:t>No se requiere Ollama ni faster-whisper local para la primera versión; una opción local podrá evaluarse en el futuro si cumple los requisitos de rendimiento.</w:t>
      </w:r>
    </w:p>
    <w:p>
      <w:pPr>
        <w:pStyle w:val="Heading1"/>
      </w:pPr>
      <w:r>
        <w:t>10. Comparación IA/humano y resolución de discrepancias</w:t>
      </w:r>
    </w:p>
    <w:p>
      <w:pPr>
        <w:pStyle w:val="ListBullet"/>
        <w:spacing w:after="40"/>
      </w:pPr>
      <w:r>
        <w:t>Los resultados de IA y humanos se conservarán por separado.</w:t>
      </w:r>
    </w:p>
    <w:p>
      <w:pPr>
        <w:pStyle w:val="ListBullet"/>
        <w:spacing w:after="40"/>
      </w:pPr>
      <w:r>
        <w:t>Los disparadores de revisión pueden incluir diferencias de puntuación, criterios críticos, desacuerdos, baja confianza o revisión obligatoria.</w:t>
      </w:r>
    </w:p>
    <w:p>
      <w:pPr>
        <w:pStyle w:val="ListBullet"/>
        <w:spacing w:after="40"/>
      </w:pPr>
      <w:r>
        <w:t>La revisión se asignará a usuarios autorizados conforme a permisos aún por definir.</w:t>
      </w:r>
    </w:p>
    <w:p>
      <w:pPr>
        <w:pStyle w:val="ListBullet"/>
        <w:spacing w:after="40"/>
      </w:pPr>
      <w:r>
        <w:t>La resolución, el revisor, los motivos, las evidencias y el resultado final serán datos separados y trazables.</w:t>
      </w:r>
    </w:p>
    <w:p>
      <w:pPr>
        <w:pStyle w:val="ListBullet"/>
        <w:spacing w:after="40"/>
      </w:pPr>
      <w:r>
        <w:t>No se asumirá automáticamente que la puntuación humana prevalece ni que siempre se utiliza la última etapa.</w:t>
      </w:r>
    </w:p>
    <w:p>
      <w:pPr>
        <w:pStyle w:val="Heading1"/>
      </w:pPr>
      <w:r>
        <w:t>11. Reportes y exportación</w:t>
      </w:r>
    </w:p>
    <w:p>
      <w:pPr>
        <w:pStyle w:val="ListBullet"/>
        <w:spacing w:after="40"/>
      </w:pPr>
      <w:r>
        <w:t>La prioridad será generar reportes descargables, principalmente Excel. El correo será opcional, no obligatorio.</w:t>
      </w:r>
    </w:p>
    <w:p>
      <w:pPr>
        <w:pStyle w:val="ListBullet"/>
        <w:spacing w:after="40"/>
      </w:pPr>
      <w:r>
        <w:t>Los reportes pueden generarse bajo demanda o programarse.</w:t>
      </w:r>
    </w:p>
    <w:p>
      <w:pPr>
        <w:pStyle w:val="ListBullet"/>
        <w:spacing w:after="40"/>
      </w:pPr>
      <w:r>
        <w:t>Los archivos generados no tienen que conservarse permanentemente; el almacenamiento temporal será configurable.</w:t>
      </w:r>
    </w:p>
    <w:p>
      <w:pPr>
        <w:pStyle w:val="ListBullet"/>
        <w:spacing w:after="40"/>
      </w:pPr>
      <w:r>
        <w:t>Filtros combinables: fechas, empresa/campaña según permisos, agente, fuente, etapa, evaluador, tipo IA/humano/ambos, resultado, discrepancias y criterios.</w:t>
      </w:r>
    </w:p>
    <w:p>
      <w:pPr>
        <w:pStyle w:val="ListBullet"/>
        <w:spacing w:after="40"/>
      </w:pPr>
      <w:r>
        <w:t>Resumen ejecutivo: volumen de llamadas y audios; seleccionadas/evaluadas; pendientes/en curso/revisión/finalizadas; promedios y porcentaje aprobado/desaprobado; comparación IA/humano; criterios críticos; resultados por agente/campaña; tiempos; fallos, reintentos y pausas de IA.</w:t>
      </w:r>
    </w:p>
    <w:p>
      <w:pPr>
        <w:pStyle w:val="ListBullet"/>
        <w:spacing w:after="40"/>
      </w:pPr>
      <w:r>
        <w:t>Plantilla Excel predeterminada con selección de hojas: resumen ejecutivo; comparación por llamada; detalle por criterio; análisis IA; historial y revisiones.</w:t>
      </w:r>
    </w:p>
    <w:p>
      <w:pPr>
        <w:pStyle w:val="ListBullet"/>
        <w:spacing w:after="40"/>
      </w:pPr>
      <w:r>
        <w:t>La comparación por llamada incluirá columnas separadas para IA, humano, diferencia y resultado final.</w:t>
      </w:r>
    </w:p>
    <w:p>
      <w:pPr>
        <w:pStyle w:val="ListBullet"/>
        <w:spacing w:after="40"/>
      </w:pPr>
      <w:r>
        <w:t>Las hojas/columnas deben adaptarse a formularios y etapas configurables.</w:t>
      </w:r>
    </w:p>
    <w:p>
      <w:pPr>
        <w:pStyle w:val="ListBullet"/>
        <w:spacing w:after="40"/>
      </w:pPr>
      <w:r>
        <w:t>Permisos separados para consultar, exportar, descargar y acceder a información sensible, incluyendo transcripciones, evidencias y referencias a audios.</w:t>
      </w:r>
    </w:p>
    <w:p>
      <w:pPr>
        <w:pStyle w:val="ListBullet"/>
        <w:spacing w:after="40"/>
      </w:pPr>
      <w:r>
        <w:t>La programación y entrega de reportes debe respetar permisos y destinatarios autorizados.</w:t>
      </w:r>
    </w:p>
    <w:p>
      <w:pPr>
        <w:pStyle w:val="Heading1"/>
      </w:pPr>
      <w:r>
        <w:t>12. Administración y cambios de configuración</w:t>
      </w:r>
    </w:p>
    <w:p>
      <w:pPr>
        <w:pStyle w:val="ListBullet"/>
        <w:spacing w:after="40"/>
      </w:pPr>
      <w:r>
        <w:t>Los cambios de configuración se aplican selectivamente: procesos nuevos, procesos en curso o ambos.</w:t>
      </w:r>
    </w:p>
    <w:p>
      <w:pPr>
        <w:pStyle w:val="ListBullet"/>
        <w:spacing w:after="40"/>
      </w:pPr>
      <w:r>
        <w:t>Por defecto, procesos en curso conservan su versión; un usuario autorizado puede solicitar una actualización compatible.</w:t>
      </w:r>
    </w:p>
    <w:p>
      <w:pPr>
        <w:pStyle w:val="ListBullet"/>
        <w:spacing w:after="40"/>
      </w:pPr>
      <w:r>
        <w:t>Los cambios preservan resultados registrados, historial y trazabilidad.</w:t>
      </w:r>
    </w:p>
    <w:p>
      <w:pPr>
        <w:pStyle w:val="ListBullet"/>
        <w:spacing w:after="40"/>
      </w:pPr>
      <w:r>
        <w:t>Las auditorías finalizadas mantienen la versión original.</w:t>
      </w:r>
    </w:p>
    <w:p>
      <w:r>
        <w:t>No se ha aprobado una matriz concreta sobre qué rol configura cada aspecto de campañas o auditorías. Se debe definir en la matriz de permisos pendiente.</w:t>
      </w:r>
    </w:p>
    <w:p>
      <w:pPr>
        <w:pStyle w:val="Heading1"/>
      </w:pPr>
      <w:r>
        <w:t>13. Notificaciones</w:t>
      </w:r>
    </w:p>
    <w:p>
      <w:pPr>
        <w:pStyle w:val="ListBullet"/>
        <w:spacing w:after="40"/>
      </w:pPr>
      <w:r>
        <w:t>Notificaciones dentro de CallAudit y por correo, según preferencias y permisos.</w:t>
      </w:r>
    </w:p>
    <w:p>
      <w:pPr>
        <w:pStyle w:val="ListBullet"/>
        <w:spacing w:after="40"/>
      </w:pPr>
      <w:r>
        <w:t>Cada empresa configura eventos, prioridad, destinatarios autorizados, canales y frecuencia/condiciones.</w:t>
      </w:r>
    </w:p>
    <w:p>
      <w:pPr>
        <w:pStyle w:val="ListBullet"/>
        <w:spacing w:after="40"/>
      </w:pPr>
      <w:r>
        <w:t>Eventos previstos: tareas asignadas/pendientes/vencidas, discrepancias y fallos críticos, integraciones o audios fallidos, errores de IA, cuotas/proveedores, reportes y exportaciones.</w:t>
      </w:r>
    </w:p>
    <w:p>
      <w:pPr>
        <w:pStyle w:val="ListBullet"/>
        <w:spacing w:after="40"/>
      </w:pPr>
      <w:r>
        <w:t>Se registran estado de entrega y errores, respetando aislamiento de empresa y acceso a datos sensibles.</w:t>
      </w:r>
    </w:p>
    <w:p>
      <w:pPr>
        <w:pStyle w:val="Heading1"/>
      </w:pPr>
      <w:r>
        <w:t>14. Trazabilidad y registros de actividad</w:t>
      </w:r>
    </w:p>
    <w:p>
      <w:pPr>
        <w:pStyle w:val="ListBullet"/>
        <w:spacing w:after="40"/>
      </w:pPr>
      <w:r>
        <w:t>Los usuarios de empresa no podrán modificar ni eliminar los registros de actividad.</w:t>
      </w:r>
    </w:p>
    <w:p>
      <w:pPr>
        <w:pStyle w:val="ListBullet"/>
        <w:spacing w:after="40"/>
      </w:pPr>
      <w:r>
        <w:t>SUPERADMIN podrá intervenir con trazabilidad reforzada; cada intervención registra responsable, fecha, motivo, registro afectado y cambios.</w:t>
      </w:r>
    </w:p>
    <w:p>
      <w:pPr>
        <w:pStyle w:val="ListBullet"/>
        <w:spacing w:after="40"/>
      </w:pPr>
      <w:r>
        <w:t>No se eliminará silenciosamente la versión previa; se conservará evidencia de la intervención.</w:t>
      </w:r>
    </w:p>
    <w:p>
      <w:pPr>
        <w:pStyle w:val="ListBullet"/>
        <w:spacing w:after="40"/>
      </w:pPr>
      <w:r>
        <w:t>Registrar actividad de usuarios, configuración, auditorías, evaluaciones, discrepancias, resultados, exportaciones/descargas, proveedores, consumo, fallos de integración y procesamiento.</w:t>
      </w:r>
    </w:p>
    <w:p>
      <w:pPr>
        <w:pStyle w:val="ListBullet"/>
        <w:spacing w:after="40"/>
      </w:pPr>
      <w:r>
        <w:t>Los registros no deben exponer contraseñas, tokens ni secretos.</w:t>
      </w:r>
    </w:p>
    <w:p>
      <w:pPr>
        <w:pStyle w:val="Heading1"/>
      </w:pPr>
      <w:r>
        <w:t>15. Backups y recuperación</w:t>
      </w:r>
    </w:p>
    <w:p>
      <w:pPr>
        <w:pStyle w:val="ListBullet"/>
        <w:spacing w:after="40"/>
      </w:pPr>
      <w:r>
        <w:t>Cada empresa configura su política dentro de límites globales; SUPERADMIN controla políticas generales y capacidades.</w:t>
      </w:r>
    </w:p>
    <w:p>
      <w:pPr>
        <w:pStyle w:val="ListBullet"/>
        <w:spacing w:after="40"/>
      </w:pPr>
      <w:r>
        <w:t>Se protegen base de datos/configuración, formularios versionados, resultados IA/humanos, evidencias, metadatos, historial y audios según retención.</w:t>
      </w:r>
    </w:p>
    <w:p>
      <w:pPr>
        <w:pStyle w:val="ListBullet"/>
        <w:spacing w:after="40"/>
      </w:pPr>
      <w:r>
        <w:t>Se admiten recuperación completa de plataforma y recuperación selectiva cuando sea técnicamente segura.</w:t>
      </w:r>
    </w:p>
    <w:p>
      <w:pPr>
        <w:pStyle w:val="ListBullet"/>
        <w:spacing w:after="40"/>
      </w:pPr>
      <w:r>
        <w:t>Registrar autorización, responsable, motivo, alcance y resultado; analizar riesgo de sobrescribir datos recientes.</w:t>
      </w:r>
    </w:p>
    <w:p>
      <w:pPr>
        <w:pStyle w:val="ListBullet"/>
        <w:spacing w:after="40"/>
      </w:pPr>
      <w:r>
        <w:t>Verificar integridad y referencias; no restaurar tablas aisladas si rompe consistencia.</w:t>
      </w:r>
    </w:p>
    <w:p>
      <w:pPr>
        <w:pStyle w:val="ListBullet"/>
        <w:spacing w:after="40"/>
      </w:pPr>
      <w:r>
        <w:t>Los secretos deben mantenerse protegidos.</w:t>
      </w:r>
    </w:p>
    <w:p>
      <w:pPr>
        <w:pStyle w:val="Heading1"/>
      </w:pPr>
      <w:r>
        <w:t>16. Escalabilidad y límites</w:t>
      </w:r>
    </w:p>
    <w:p>
      <w:pPr>
        <w:pStyle w:val="ListBullet"/>
        <w:spacing w:after="40"/>
      </w:pPr>
      <w:r>
        <w:t>Escalado vertical y horizontal aprobado, con servidores/workers independientes.</w:t>
      </w:r>
    </w:p>
    <w:p>
      <w:pPr>
        <w:pStyle w:val="ListBullet"/>
        <w:spacing w:after="40"/>
      </w:pPr>
      <w:r>
        <w:t>La web debe permanecer ágil; IA, importaciones y reportes se ejecutan en segundo plano.</w:t>
      </w:r>
    </w:p>
    <w:p>
      <w:pPr>
        <w:pStyle w:val="ListBullet"/>
        <w:spacing w:after="40"/>
      </w:pPr>
      <w:r>
        <w:t>Límites por empresa: almacenamiento, importaciones/llamadas, tareas IA simultáneas y consumo, cuotas del proveedor, reportes y concurrencia.</w:t>
      </w:r>
    </w:p>
    <w:p>
      <w:pPr>
        <w:pStyle w:val="ListBullet"/>
        <w:spacing w:after="40"/>
      </w:pPr>
      <w:r>
        <w:t>SUPERADMIN fija límites generales; cada empresa opera dentro de sus cuotas autorizadas.</w:t>
      </w:r>
    </w:p>
    <w:p>
      <w:pPr>
        <w:pStyle w:val="ListBullet"/>
        <w:spacing w:after="40"/>
      </w:pPr>
      <w:r>
        <w:t>Avisos antes y al alcanzar límites. La acción será advertir, pausar u otra alternativa autorizada, sin perder tareas ni generar gasto no autorizado.</w:t>
      </w:r>
    </w:p>
    <w:p>
      <w:pPr>
        <w:pStyle w:val="ListBullet"/>
        <w:spacing w:after="40"/>
      </w:pPr>
      <w:r>
        <w:t>Se prevé soporte futuro para motores de base de datos además de MariaDB.</w:t>
      </w:r>
    </w:p>
    <w:p>
      <w:pPr>
        <w:pStyle w:val="Heading1"/>
      </w:pPr>
      <w:r>
        <w:t>17. Monitoreo</w:t>
      </w:r>
    </w:p>
    <w:p>
      <w:pPr>
        <w:pStyle w:val="ListBullet"/>
        <w:spacing w:after="40"/>
      </w:pPr>
      <w:r>
        <w:t>Panel técnico global para SUPERADMIN; cada empresa ve solo sus recursos según permisos.</w:t>
      </w:r>
    </w:p>
    <w:p>
      <w:pPr>
        <w:pStyle w:val="ListBullet"/>
        <w:spacing w:after="40"/>
      </w:pPr>
      <w:r>
        <w:t>Métricas: aplicación, base de datos, almacenamiento, workers, colas, CPU/memoria, tiempos, integraciones, IA y cuotas.</w:t>
      </w:r>
    </w:p>
    <w:p>
      <w:pPr>
        <w:pStyle w:val="ListBullet"/>
        <w:spacing w:after="40"/>
      </w:pPr>
      <w:r>
        <w:t>Alertas por colas acumuladas, integraciones caídas, almacenamiento próximo al límite, fallos repetidos de IA y tiempos anormales.</w:t>
      </w:r>
    </w:p>
    <w:p>
      <w:pPr>
        <w:pStyle w:val="ListBullet"/>
        <w:spacing w:after="40"/>
      </w:pPr>
      <w:r>
        <w:t>Registrar incidencias, reintentos, estados y resolución.</w:t>
      </w:r>
    </w:p>
    <w:p>
      <w:pPr>
        <w:pStyle w:val="ListBullet"/>
        <w:spacing w:after="40"/>
      </w:pPr>
      <w:r>
        <w:t>Separar monitoreo técnico de indicadores de calidad de auditoría.</w:t>
      </w:r>
    </w:p>
    <w:p>
      <w:pPr>
        <w:pStyle w:val="Heading1"/>
      </w:pPr>
      <w:r>
        <w:t>18. Mantenimiento, entornos y publicaciones</w:t>
      </w:r>
    </w:p>
    <w:p>
      <w:pPr>
        <w:pStyle w:val="ListBullet"/>
        <w:spacing w:after="40"/>
      </w:pPr>
      <w:r>
        <w:t>Entornos separados de desarrollo, pruebas y producción.</w:t>
      </w:r>
    </w:p>
    <w:p>
      <w:pPr>
        <w:pStyle w:val="ListBullet"/>
        <w:spacing w:after="40"/>
      </w:pPr>
      <w:r>
        <w:t>Los cambios pasan por desarrollo y pruebas antes de producción.</w:t>
      </w:r>
    </w:p>
    <w:p>
      <w:pPr>
        <w:pStyle w:val="ListBullet"/>
        <w:spacing w:after="40"/>
      </w:pPr>
      <w:r>
        <w:t>Credenciales y configuraciones separadas por entorno; migraciones verificadas; rollback cuando sea viable.</w:t>
      </w:r>
    </w:p>
    <w:p>
      <w:pPr>
        <w:pStyle w:val="ListBullet"/>
        <w:spacing w:after="40"/>
      </w:pPr>
      <w:r>
        <w:t>Actualizaciones manuales y programadas con ventanas autorizadas, backups verificables, continuidad de tareas y recuperación.</w:t>
      </w:r>
    </w:p>
    <w:p>
      <w:pPr>
        <w:pStyle w:val="ListBullet"/>
        <w:spacing w:after="40"/>
      </w:pPr>
      <w:r>
        <w:t>Registrar versión, responsable, fecha, cambios y resultado.</w:t>
      </w:r>
    </w:p>
    <w:p>
      <w:pPr>
        <w:pStyle w:val="Heading1"/>
      </w:pPr>
      <w:r>
        <w:t>19. Seguridad</w:t>
      </w:r>
    </w:p>
    <w:p>
      <w:pPr>
        <w:pStyle w:val="ListBullet"/>
        <w:spacing w:after="40"/>
      </w:pPr>
      <w:r>
        <w:t>Hash seguro de contraseñas, sesiones con vencimiento/invalidez y verificación de permisos en el servidor.</w:t>
      </w:r>
    </w:p>
    <w:p>
      <w:pPr>
        <w:pStyle w:val="ListBullet"/>
        <w:spacing w:after="40"/>
      </w:pPr>
      <w:r>
        <w:t>Aislamiento por tenant en consultas, exportaciones, archivos y tareas en segundo plano.</w:t>
      </w:r>
    </w:p>
    <w:p>
      <w:pPr>
        <w:pStyle w:val="ListBullet"/>
        <w:spacing w:after="40"/>
      </w:pPr>
      <w:r>
        <w:t>Credenciales de integración con mínimo privilegio; usar acceso de solo lectura a bases externas cuando sea suficiente.</w:t>
      </w:r>
    </w:p>
    <w:p>
      <w:pPr>
        <w:pStyle w:val="ListBullet"/>
        <w:spacing w:after="40"/>
      </w:pPr>
      <w:r>
        <w:t>No exponer audios/documentos con enlaces públicos permanentes; HTTPS en producción.</w:t>
      </w:r>
    </w:p>
    <w:p>
      <w:pPr>
        <w:pStyle w:val="ListBullet"/>
        <w:spacing w:after="40"/>
      </w:pPr>
      <w:r>
        <w:t>Mitigar CSRF, XSS, inyección SQL, exposición de logs y secretos en Git.</w:t>
      </w:r>
    </w:p>
    <w:p>
      <w:pPr>
        <w:pStyle w:val="ListBullet"/>
        <w:spacing w:after="40"/>
      </w:pPr>
      <w:r>
        <w:t>2FA obligatoria para SUPERADMIN; la empresa puede exigirla según política y capacidades.</w:t>
      </w:r>
    </w:p>
    <w:p>
      <w:pPr>
        <w:pStyle w:val="ListBullet"/>
        <w:spacing w:after="40"/>
      </w:pPr>
      <w:r>
        <w:t>Protección contra fuerza bruta: límites de intentos, bloqueos temporales progresivos, control por cuenta/origen, alertas y recuperación segura.</w:t>
      </w:r>
    </w:p>
    <w:p>
      <w:pPr>
        <w:pStyle w:val="ListBullet"/>
        <w:spacing w:after="40"/>
      </w:pPr>
      <w:r>
        <w:t>Credenciales de telefonía/API/IA cifradas, aisladas por empresa/entorno, con rotación/revocación y sin registrar secretos.</w:t>
      </w:r>
    </w:p>
    <w:p>
      <w:pPr>
        <w:pStyle w:val="ListBullet"/>
        <w:spacing w:after="40"/>
      </w:pPr>
      <w:r>
        <w:t>Tras guardar un secreto, ningún usuario —incluido el ADMIN de empresa— puede volver a verlo completo. Podrá reemplazarlo, probar conexión o desactivar integración; la UI muestra estado/nombre y los logs no muestran secretos.</w:t>
      </w:r>
    </w:p>
    <w:p>
      <w:pPr>
        <w:pStyle w:val="ListBullet"/>
        <w:spacing w:after="40"/>
      </w:pPr>
      <w:r>
        <w:t>Revisiones de seguridad obligatorias antes de cada publicación en producción, manual o programada.</w:t>
      </w:r>
    </w:p>
    <w:p>
      <w:pPr>
        <w:pStyle w:val="ListBullet"/>
        <w:spacing w:after="40"/>
      </w:pPr>
      <w:r>
        <w:t>Cambios críticos de autenticación, permisos, base de datos, audio e IA requieren controles adicionales según riesgo.</w:t>
      </w:r>
    </w:p>
    <w:p>
      <w:pPr>
        <w:pStyle w:val="ListBullet"/>
        <w:spacing w:after="40"/>
      </w:pPr>
      <w:r>
        <w:t>Las vulnerabilidades se registran, priorizan, corrigen y vuelven a comprobar.</w:t>
      </w:r>
    </w:p>
    <w:p>
      <w:pPr>
        <w:pStyle w:val="ListBullet"/>
        <w:spacing w:after="40"/>
      </w:pPr>
      <w:r>
        <w:t>Una vulnerabilidad crítica sin resolver bloquea la publicación normal. La excepción de emergencia debe estar autorizada, documentada y ser trazable.</w:t>
      </w:r>
    </w:p>
    <w:p>
      <w:pPr>
        <w:pStyle w:val="Heading1"/>
      </w:pPr>
      <w:r>
        <w:t>20. Decisiones cerradas frente a pendientes</w:t>
      </w:r>
    </w:p>
    <w:p>
      <w:pPr>
        <w:pStyle w:val="Heading2"/>
      </w:pPr>
      <w:r>
        <w:t>Aprobadas</w:t>
      </w:r>
    </w:p>
    <w:p>
      <w:pPr>
        <w:pStyle w:val="ListBullet"/>
        <w:spacing w:after="40"/>
      </w:pPr>
      <w:r>
        <w:t>Plataforma SaaS multiempresa y aislamiento por tenant.</w:t>
      </w:r>
    </w:p>
    <w:p>
      <w:pPr>
        <w:pStyle w:val="ListBullet"/>
        <w:spacing w:after="40"/>
      </w:pPr>
      <w:r>
        <w:t>Fuentes múltiples de telefonía, varios servidores y métodos de ingesta.</w:t>
      </w:r>
    </w:p>
    <w:p>
      <w:pPr>
        <w:pStyle w:val="ListBullet"/>
        <w:spacing w:after="40"/>
      </w:pPr>
      <w:r>
        <w:t>Almacenamiento propio de audio; local/NAS y S3.</w:t>
      </w:r>
    </w:p>
    <w:p>
      <w:pPr>
        <w:pStyle w:val="ListBullet"/>
        <w:spacing w:after="40"/>
      </w:pPr>
      <w:r>
        <w:t>Formularios y preguntas configurables por empresa, con versionado.</w:t>
      </w:r>
    </w:p>
    <w:p>
      <w:pPr>
        <w:pStyle w:val="ListBullet"/>
        <w:spacing w:after="40"/>
      </w:pPr>
      <w:r>
        <w:t>Puntuación automática y manual; N/A y criterios críticos configurables.</w:t>
      </w:r>
    </w:p>
    <w:p>
      <w:pPr>
        <w:pStyle w:val="ListBullet"/>
        <w:spacing w:after="40"/>
      </w:pPr>
      <w:r>
        <w:t>Número de etapas configurable; IA opcional por etapa; historial sin sobrescritura.</w:t>
      </w:r>
    </w:p>
    <w:p>
      <w:pPr>
        <w:pStyle w:val="ListBullet"/>
        <w:spacing w:after="40"/>
      </w:pPr>
      <w:r>
        <w:t>Selección de llamadas manual, aleatoria, por reglas y automática/continua.</w:t>
      </w:r>
    </w:p>
    <w:p>
      <w:pPr>
        <w:pStyle w:val="ListBullet"/>
        <w:spacing w:after="40"/>
      </w:pPr>
      <w:r>
        <w:t>IA asíncrona, proveedores elegidos por empresa y gasto de pago nunca no autorizado.</w:t>
      </w:r>
    </w:p>
    <w:p>
      <w:pPr>
        <w:pStyle w:val="ListBullet"/>
        <w:spacing w:after="40"/>
      </w:pPr>
      <w:r>
        <w:t>Política de cuota gratuita agotada con pausa/cambio autorizado/uso pagado autorizado.</w:t>
      </w:r>
    </w:p>
    <w:p>
      <w:pPr>
        <w:pStyle w:val="ListBullet"/>
        <w:spacing w:after="40"/>
      </w:pPr>
      <w:r>
        <w:t>Reportes Excel descargables con comparación IA/humano y evidencias.</w:t>
      </w:r>
    </w:p>
    <w:p>
      <w:pPr>
        <w:pStyle w:val="ListBullet"/>
        <w:spacing w:after="40"/>
      </w:pPr>
      <w:r>
        <w:t>Notificaciones internas y email configurables.</w:t>
      </w:r>
    </w:p>
    <w:p>
      <w:pPr>
        <w:pStyle w:val="ListBullet"/>
        <w:spacing w:after="40"/>
      </w:pPr>
      <w:r>
        <w:t>Trazabilidad de actividad con intervención de SUPERADMIN auditada.</w:t>
      </w:r>
    </w:p>
    <w:p>
      <w:pPr>
        <w:pStyle w:val="ListBullet"/>
        <w:spacing w:after="40"/>
      </w:pPr>
      <w:r>
        <w:t>Backups completos y selectivos según integridad técnica.</w:t>
      </w:r>
    </w:p>
    <w:p>
      <w:pPr>
        <w:pStyle w:val="ListBullet"/>
        <w:spacing w:after="40"/>
      </w:pPr>
      <w:r>
        <w:t>Escalado vertical/horizontal, límites por empresa y monitoreo técnico.</w:t>
      </w:r>
    </w:p>
    <w:p>
      <w:pPr>
        <w:pStyle w:val="ListBullet"/>
        <w:spacing w:after="40"/>
      </w:pPr>
      <w:r>
        <w:t>Entornos separados de desarrollo, pruebas y producción.</w:t>
      </w:r>
    </w:p>
    <w:p>
      <w:pPr>
        <w:pStyle w:val="ListBullet"/>
        <w:spacing w:after="40"/>
      </w:pPr>
      <w:r>
        <w:t>Credenciales ocultas después de guardarse.</w:t>
      </w:r>
    </w:p>
    <w:p>
      <w:pPr>
        <w:pStyle w:val="ListBullet"/>
        <w:spacing w:after="40"/>
      </w:pPr>
      <w:r>
        <w:t>Revisiones de seguridad antes de cada publicación en producción.</w:t>
      </w:r>
    </w:p>
    <w:p>
      <w:pPr>
        <w:pStyle w:val="Heading2"/>
      </w:pPr>
      <w:r>
        <w:t>Pendientes de definición</w:t>
      </w:r>
    </w:p>
    <w:p>
      <w:pPr>
        <w:pStyle w:val="ListBullet"/>
        <w:spacing w:after="40"/>
      </w:pPr>
      <w:r>
        <w:t>Política de privacidad por empresa dentro de límites globales obligatorios (última pregunta formulada; aún no contestada).</w:t>
      </w:r>
    </w:p>
    <w:p>
      <w:pPr>
        <w:pStyle w:val="ListBullet"/>
        <w:spacing w:after="40"/>
      </w:pPr>
      <w:r>
        <w:t>Ciclo de vida de empresa: alta, suspensión, baja, exportación y eliminación.</w:t>
      </w:r>
    </w:p>
    <w:p>
      <w:pPr>
        <w:pStyle w:val="ListBullet"/>
        <w:spacing w:after="40"/>
      </w:pPr>
      <w:r>
        <w:t>Planes comerciales, licencias y consecuencias de exceder límites comerciales.</w:t>
      </w:r>
    </w:p>
    <w:p>
      <w:pPr>
        <w:pStyle w:val="ListBullet"/>
        <w:spacing w:after="40"/>
      </w:pPr>
      <w:r>
        <w:t>Matriz específica de permisos de auditoría y configuración.</w:t>
      </w:r>
    </w:p>
    <w:p>
      <w:pPr>
        <w:pStyle w:val="ListBullet"/>
        <w:spacing w:after="40"/>
      </w:pPr>
      <w:r>
        <w:t>Reglas de identidad de llamada, deduplicación y audio tardío/incompleto.</w:t>
      </w:r>
    </w:p>
    <w:p>
      <w:pPr>
        <w:pStyle w:val="ListBullet"/>
        <w:spacing w:after="40"/>
      </w:pPr>
      <w:r>
        <w:t>Objetivos de recuperación: pérdida máxima de datos y tiempo máximo de restauración.</w:t>
      </w:r>
    </w:p>
    <w:p>
      <w:pPr>
        <w:pStyle w:val="ListBullet"/>
        <w:spacing w:after="40"/>
      </w:pPr>
      <w:r>
        <w:t>Recuperación de tareas atascadas, concurrencia, idempotencia y prevención de doble evaluación/coste.</w:t>
      </w:r>
    </w:p>
    <w:p>
      <w:pPr>
        <w:pStyle w:val="ListBullet"/>
        <w:spacing w:after="40"/>
      </w:pPr>
      <w:r>
        <w:t>Política de compatibilidad, migraciones y rollback.</w:t>
      </w:r>
    </w:p>
    <w:p>
      <w:pPr>
        <w:pStyle w:val="ListBullet"/>
        <w:spacing w:after="40"/>
      </w:pPr>
      <w:r>
        <w:t>Acceso de SUPERADMIN al contexto de empresa y validación final del inicio de sesión multiempresa.</w:t>
      </w:r>
    </w:p>
    <w:p>
      <w:pPr>
        <w:pStyle w:val="ListBullet"/>
        <w:spacing w:after="40"/>
      </w:pPr>
      <w:r>
        <w:t>Verificación del SQL y del repositorio vigentes antes de implementar.</w:t>
      </w:r>
    </w:p>
    <w:p>
      <w:pPr>
        <w:pStyle w:val="Heading1"/>
      </w:pPr>
      <w:r>
        <w:t>21. Riesgos y recomendaciones de diseño adicionales</w:t>
      </w:r>
    </w:p>
    <w:p>
      <w:pPr>
        <w:pStyle w:val="ListBullet"/>
        <w:spacing w:after="40"/>
      </w:pPr>
      <w:r>
        <w:t>Definir una identidad canónica de llamada independiente de los identificadores de cada fuente y un procedimiento explícito de deduplicación.</w:t>
      </w:r>
    </w:p>
    <w:p>
      <w:pPr>
        <w:pStyle w:val="ListBullet"/>
        <w:spacing w:after="40"/>
      </w:pPr>
      <w:r>
        <w:t>Diseñar idempotencia en ingestas, tareas de IA, evaluaciones y exportaciones para evitar duplicados al reintentar.</w:t>
      </w:r>
    </w:p>
    <w:p>
      <w:pPr>
        <w:pStyle w:val="ListBullet"/>
        <w:spacing w:after="40"/>
      </w:pPr>
      <w:r>
        <w:t>Separar estados de llamada, audio, transcripción, tarea IA, evaluación humana y proceso de auditoría.</w:t>
      </w:r>
    </w:p>
    <w:p>
      <w:pPr>
        <w:pStyle w:val="ListBullet"/>
        <w:spacing w:after="40"/>
      </w:pPr>
      <w:r>
        <w:t>Acordar objetivos de recuperación (RPO/RTO), frecuencia de pruebas de restauración y verificación de backups.</w:t>
      </w:r>
    </w:p>
    <w:p>
      <w:pPr>
        <w:pStyle w:val="ListBullet"/>
        <w:spacing w:after="40"/>
      </w:pPr>
      <w:r>
        <w:t>Establecer límites de tamaño/formato de audio, validación de archivos, detección de archivos dañados y política para audios faltantes.</w:t>
      </w:r>
    </w:p>
    <w:p>
      <w:pPr>
        <w:pStyle w:val="ListBullet"/>
        <w:spacing w:after="40"/>
      </w:pPr>
      <w:r>
        <w:t>Definir cómo se versionan prompts, modelos de IA, reglas de scoring y formularios para que los resultados históricos sean reproducibles.</w:t>
      </w:r>
    </w:p>
    <w:p>
      <w:pPr>
        <w:pStyle w:val="ListBullet"/>
        <w:spacing w:after="40"/>
      </w:pPr>
      <w:r>
        <w:t>Establecer política de privacidad y transferencia de datos a proveedores externos antes de habilitar proveedores reales.</w:t>
      </w:r>
    </w:p>
    <w:p>
      <w:pPr>
        <w:pStyle w:val="ListBullet"/>
        <w:spacing w:after="40"/>
      </w:pPr>
      <w:r>
        <w:t>Definir estrategia de pruebas automatizadas de tenant isolation, autorización, colas, migraciones y seguridad.</w:t>
      </w:r>
    </w:p>
    <w:p>
      <w:pPr>
        <w:pStyle w:val="ListBullet"/>
        <w:spacing w:after="40"/>
      </w:pPr>
      <w:r>
        <w:t>Acordar objetivos de capacidad y tiempos de respuesta con métricas verificables antes de escalar a producción.</w:t>
      </w:r>
    </w:p>
    <w:p>
      <w:pPr>
        <w:pStyle w:val="Heading1"/>
      </w:pPr>
      <w:r>
        <w:t>22. Orden de continuación acordado</w:t>
      </w:r>
    </w:p>
    <w:p>
      <w:pPr>
        <w:pStyle w:val="ListNumber"/>
        <w:spacing w:after="40"/>
      </w:pPr>
      <w:r>
        <w:t>Cerrar privacidad y cumplimiento legal.</w:t>
      </w:r>
    </w:p>
    <w:p>
      <w:pPr>
        <w:pStyle w:val="ListNumber"/>
        <w:spacing w:after="40"/>
      </w:pPr>
      <w:r>
        <w:t>Definir ciclo de vida de empresas y usuarios.</w:t>
      </w:r>
    </w:p>
    <w:p>
      <w:pPr>
        <w:pStyle w:val="ListNumber"/>
        <w:spacing w:after="40"/>
      </w:pPr>
      <w:r>
        <w:t>Definir planes, límites y costes comerciales si aplican.</w:t>
      </w:r>
    </w:p>
    <w:p>
      <w:pPr>
        <w:pStyle w:val="ListNumber"/>
        <w:spacing w:after="40"/>
      </w:pPr>
      <w:r>
        <w:t>Aprobar matriz de permisos de auditoría.</w:t>
      </w:r>
    </w:p>
    <w:p>
      <w:pPr>
        <w:pStyle w:val="ListNumber"/>
        <w:spacing w:after="40"/>
      </w:pPr>
      <w:r>
        <w:t>Definir identidad, duplicados y ciclo de vida de llamadas/audios.</w:t>
      </w:r>
    </w:p>
    <w:p>
      <w:pPr>
        <w:pStyle w:val="ListNumber"/>
        <w:spacing w:after="40"/>
      </w:pPr>
      <w:r>
        <w:t>Definir recuperación ante desastres.</w:t>
      </w:r>
    </w:p>
    <w:p>
      <w:pPr>
        <w:pStyle w:val="ListNumber"/>
        <w:spacing w:after="40"/>
      </w:pPr>
      <w:r>
        <w:t>Definir fiabilidad de colas, workers y tareas.</w:t>
      </w:r>
    </w:p>
    <w:p>
      <w:pPr>
        <w:pStyle w:val="ListNumber"/>
        <w:spacing w:after="40"/>
      </w:pPr>
      <w:r>
        <w:t>Definir compatibilidad y migraciones.</w:t>
      </w:r>
    </w:p>
    <w:p>
      <w:pPr>
        <w:pStyle w:val="ListNumber"/>
        <w:spacing w:after="40"/>
      </w:pPr>
      <w:r>
        <w:t>Revisar coherencia final de todos los bloques.</w:t>
      </w:r>
    </w:p>
    <w:p>
      <w:pPr>
        <w:pStyle w:val="ListNumber"/>
        <w:spacing w:after="40"/>
      </w:pPr>
      <w:r>
        <w:t>Contrastar el diseño con la rama main y el archivo SQL oficial real.</w:t>
      </w:r>
    </w:p>
    <w:p>
      <w:pPr>
        <w:pStyle w:val="ListNumber"/>
        <w:spacing w:after="40"/>
      </w:pPr>
      <w:r>
        <w:t>Proponer arquitectura/modelo de datos y plan de implementación, sin tocar Git hasta autorización.</w:t>
      </w:r>
    </w:p>
    <w:p>
      <w:pPr>
        <w:pStyle w:val="Heading1"/>
      </w:pPr>
      <w:r>
        <w:t>23. Regla para futuras continuaciones</w:t>
      </w:r>
    </w:p>
    <w:p>
      <w:r>
        <w:t>Al retomar CallAudit, usar este informe y el checkpoint del 21/10/2026 como referencia. No volver a preguntar decisiones marcadas como aprobadas. Continuar desde el primer pendiente. No asumir que las propuestas pendientes están aprobadas. Antes de modificar código o base de datos, revisar el repositorio real y el SQL vigente; presentar los cambios propuestos y esperar la autorización correspondiente.</w:t>
      </w:r>
    </w:p>
    <w:p>
      <w:r>
        <w:t>Próximo punto concreto: responder la pregunta pendiente sobre política de privacidad configurable por empresa dentro de reglas globales obligatorias.</w:t>
      </w:r>
    </w:p>
    <w:p>
      <w:pPr>
        <w:pStyle w:val="Heading1"/>
      </w:pPr>
      <w:r>
        <w:t>Anexo A. Matriz de permisos de auditoría — propuesta aún no aprobada</w:t>
      </w:r>
    </w:p>
    <w:p>
      <w:r>
        <w:t>Las siguientes acciones se habían propuesto para evaluar la matriz de permisos, pero no están aprobadas y no deben incorporarse automáticamente:</w:t>
      </w:r>
    </w:p>
    <w:p>
      <w:pPr>
        <w:pStyle w:val="ListBullet"/>
        <w:spacing w:after="40"/>
      </w:pPr>
      <w:r>
        <w:t>audit_processes.view/create/edit</w:t>
      </w:r>
    </w:p>
    <w:p>
      <w:pPr>
        <w:pStyle w:val="ListBullet"/>
        <w:spacing w:after="40"/>
      </w:pPr>
      <w:r>
        <w:t>audit_forms.manage</w:t>
      </w:r>
    </w:p>
    <w:p>
      <w:pPr>
        <w:pStyle w:val="ListBullet"/>
        <w:spacing w:after="40"/>
      </w:pPr>
      <w:r>
        <w:t>audit_stages.manage</w:t>
      </w:r>
    </w:p>
    <w:p>
      <w:pPr>
        <w:pStyle w:val="ListBullet"/>
        <w:spacing w:after="40"/>
      </w:pPr>
      <w:r>
        <w:t>audit_calls.import/select</w:t>
      </w:r>
    </w:p>
    <w:p>
      <w:pPr>
        <w:pStyle w:val="ListBullet"/>
        <w:spacing w:after="40"/>
      </w:pPr>
      <w:r>
        <w:t>audit_tasks.assign/reassign</w:t>
      </w:r>
    </w:p>
    <w:p>
      <w:pPr>
        <w:pStyle w:val="ListBullet"/>
        <w:spacing w:after="40"/>
      </w:pPr>
      <w:r>
        <w:t>audit_evaluations.perform</w:t>
      </w:r>
    </w:p>
    <w:p>
      <w:pPr>
        <w:pStyle w:val="ListBullet"/>
        <w:spacing w:after="40"/>
      </w:pPr>
      <w:r>
        <w:t>audit_ai.view</w:t>
      </w:r>
    </w:p>
    <w:p>
      <w:pPr>
        <w:pStyle w:val="ListBullet"/>
        <w:spacing w:after="40"/>
      </w:pPr>
      <w:r>
        <w:t>audit_discrepancies.review</w:t>
      </w:r>
    </w:p>
    <w:p>
      <w:pPr>
        <w:pStyle w:val="ListBullet"/>
        <w:spacing w:after="40"/>
      </w:pPr>
      <w:r>
        <w:t>audit_results.approve/finalize</w:t>
      </w:r>
    </w:p>
    <w:p>
      <w:pPr>
        <w:pStyle w:val="ListBullet"/>
        <w:spacing w:after="40"/>
      </w:pPr>
      <w:r>
        <w:t>audit_reports.view/export</w:t>
      </w:r>
    </w:p>
    <w:p>
      <w:pPr>
        <w:pStyle w:val="ListBullet"/>
        <w:spacing w:after="40"/>
      </w:pPr>
      <w:r>
        <w:t>audit_history.view</w:t>
      </w:r>
    </w:p>
    <w:p>
      <w:pPr>
        <w:pStyle w:val="Heading1"/>
      </w:pPr>
      <w:r>
        <w:t>Anexo B. Límites de este informe</w:t>
      </w:r>
    </w:p>
    <w:p>
      <w:r>
        <w:t>El documento refleja las decisiones y el estado comunicados en la conversación y el checkpoint disponible. No es una inspección directa de Git ni una certificación del código actual. Los nombres de archivos, tablas, versiones y estructura técnica deben confirmarse con el repositorio y el SQL vigente antes de elaborar scripts de migración o implementar módulos nuevos.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Documento de referencia funcional · 21/10/2026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CALLAUDIT | INFORME MAESTRO DE DISEÑO Y AVANCE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