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88CC2CF" w:rsidR="00741428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0CE19" w14:textId="77777777" w:rsidR="00456436" w:rsidRPr="004F6CB7" w:rsidRDefault="00456436" w:rsidP="00456436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4B1A8565" w14:textId="77777777" w:rsidR="00456436" w:rsidRPr="004F6CB7" w:rsidRDefault="00456436" w:rsidP="003D0C81">
      <w:pPr>
        <w:jc w:val="center"/>
        <w:rPr>
          <w:noProof/>
        </w:rPr>
      </w:pP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lastRenderedPageBreak/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lastRenderedPageBreak/>
        <w:t>Parts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14:paraId="26F6B87D" w14:textId="7777777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149EB0F1" w14:textId="77777777"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14:paraId="61C60126" w14:textId="77777777" w:rsidTr="00F22D57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14:paraId="1031CE5A" w14:textId="1F8C94B9" w:rsidR="00F22D57" w:rsidRPr="00544B35" w:rsidRDefault="00F22D57" w:rsidP="002F6E2E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  <w:r w:rsidR="002F6E2E">
              <w:rPr>
                <w:noProof/>
              </w:rPr>
              <w:t xml:space="preserve"> 2</w:t>
            </w:r>
          </w:p>
        </w:tc>
      </w:tr>
      <w:tr w:rsidR="00F22D57" w:rsidRPr="004F6CB7" w14:paraId="395C7902" w14:textId="77777777" w:rsidTr="00F22D57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14:paraId="5EE2AEE5" w14:textId="50818D72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  <w:r w:rsidR="002F6E2E">
              <w:rPr>
                <w:noProof/>
              </w:rPr>
              <w:t xml:space="preserve"> 1</w:t>
            </w:r>
          </w:p>
        </w:tc>
      </w:tr>
      <w:tr w:rsidR="00F22D57" w:rsidRPr="004F6CB7" w14:paraId="4A674B79" w14:textId="77777777" w:rsidTr="00F22D57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14:paraId="4DD6F44F" w14:textId="14AD7A03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  <w:r w:rsidR="002F6E2E">
              <w:rPr>
                <w:noProof/>
              </w:rPr>
              <w:t xml:space="preserve"> 4</w:t>
            </w:r>
          </w:p>
        </w:tc>
      </w:tr>
      <w:tr w:rsidR="00F22D57" w:rsidRPr="004F6CB7" w14:paraId="6890F115" w14:textId="77777777" w:rsidTr="00F22D57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14:paraId="15EE0DB7" w14:textId="424D065C"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  <w:r w:rsidR="002F6E2E">
              <w:rPr>
                <w:noProof/>
              </w:rPr>
              <w:t xml:space="preserve"> 3</w:t>
            </w:r>
          </w:p>
        </w:tc>
      </w:tr>
    </w:tbl>
    <w:p w14:paraId="4FEEF233" w14:textId="0A2A4C33" w:rsidR="002F6E2E" w:rsidRDefault="002F6E2E" w:rsidP="002F6E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'Shenzhen Ltd.'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1CCE5E1B" w14:textId="77777777" w:rsidR="002F6E2E" w:rsidRDefault="002F6E2E" w:rsidP="002F6E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'Suzhou Precision Products'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33FCE18A" w14:textId="77777777" w:rsidR="002F6E2E" w:rsidRDefault="002F6E2E" w:rsidP="002F6E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'Qingdao Technology'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),</w:t>
      </w:r>
    </w:p>
    <w:p w14:paraId="1B7D9709" w14:textId="076539A9" w:rsidR="00923D4A" w:rsidRPr="004F6CB7" w:rsidRDefault="002F6E2E" w:rsidP="002F6E2E">
      <w:pPr>
        <w:tabs>
          <w:tab w:val="left" w:pos="1427"/>
        </w:tabs>
        <w:rPr>
          <w:rStyle w:val="Strong"/>
          <w:noProof/>
        </w:rPr>
      </w:pPr>
      <w:r>
        <w:rPr>
          <w:rFonts w:ascii="Consolas" w:hAnsi="Consolas" w:cs="Consolas"/>
          <w:color w:val="80808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'Fenghua Import Export'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)</w:t>
      </w: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lastRenderedPageBreak/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</w:t>
      </w:r>
      <w:bookmarkStart w:id="0" w:name="_GoBack"/>
      <w:r w:rsidR="00A328AD">
        <w:rPr>
          <w:noProof/>
        </w:rPr>
        <w:t>the sum of parts in stock and parts ordered is less than the required quantity</w:t>
      </w:r>
      <w:bookmarkEnd w:id="0"/>
      <w:r w:rsidR="00A328AD">
        <w:rPr>
          <w:noProof/>
        </w:rPr>
        <w:t>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lastRenderedPageBreak/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7777777"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14:paraId="1E34A749" w14:textId="77777777"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14:paraId="650257D6" w14:textId="77777777"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18ACA531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25F08F0D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46702D" w:rsidRPr="004F6CB7" w14:paraId="6347815F" w14:textId="77777777" w:rsidTr="00330E0F">
        <w:trPr>
          <w:trHeight w:val="314"/>
        </w:trPr>
        <w:tc>
          <w:tcPr>
            <w:tcW w:w="10433" w:type="dxa"/>
          </w:tcPr>
          <w:p w14:paraId="3249F682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14:paraId="5A82AB6C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14:paraId="61F7320A" w14:textId="77777777"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14:paraId="799E86F0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493B0E40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3DA4C527" w14:textId="77777777" w:rsidTr="00330E0F">
        <w:trPr>
          <w:trHeight w:val="314"/>
        </w:trPr>
        <w:tc>
          <w:tcPr>
            <w:tcW w:w="10433" w:type="dxa"/>
          </w:tcPr>
          <w:p w14:paraId="51AB8F49" w14:textId="77777777"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7658" w14:textId="77777777" w:rsidR="007A1115" w:rsidRDefault="007A1115" w:rsidP="008068A2">
      <w:pPr>
        <w:spacing w:after="0" w:line="240" w:lineRule="auto"/>
      </w:pPr>
      <w:r>
        <w:separator/>
      </w:r>
    </w:p>
  </w:endnote>
  <w:endnote w:type="continuationSeparator" w:id="0">
    <w:p w14:paraId="37F38AED" w14:textId="77777777" w:rsidR="007A1115" w:rsidRDefault="007A1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CA6014" w:rsidRPr="00AC77AD" w:rsidRDefault="00CA601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64C5111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F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F0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0B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64C5111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F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F0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6A6CA" w14:textId="77777777" w:rsidR="007A1115" w:rsidRDefault="007A1115" w:rsidP="008068A2">
      <w:pPr>
        <w:spacing w:after="0" w:line="240" w:lineRule="auto"/>
      </w:pPr>
      <w:r>
        <w:separator/>
      </w:r>
    </w:p>
  </w:footnote>
  <w:footnote w:type="continuationSeparator" w:id="0">
    <w:p w14:paraId="58316483" w14:textId="77777777" w:rsidR="007A1115" w:rsidRDefault="007A1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2F6E2E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37F09"/>
    <w:rsid w:val="00456436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1115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EEE57-ABD3-4443-9B10-498C442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1464</Words>
  <Characters>8350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ROG STRIX</cp:lastModifiedBy>
  <cp:revision>47</cp:revision>
  <cp:lastPrinted>2017-04-24T05:26:00Z</cp:lastPrinted>
  <dcterms:created xsi:type="dcterms:W3CDTF">2017-04-19T07:35:00Z</dcterms:created>
  <dcterms:modified xsi:type="dcterms:W3CDTF">2020-06-27T14:04:00Z</dcterms:modified>
  <cp:category>programming, education, software engineering, software development</cp:category>
</cp:coreProperties>
</file>