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946"/>
        </w:tabs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6237"/>
        <w:tblGridChange w:id="0">
          <w:tblGrid>
            <w:gridCol w:w="2268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Data: </w:t>
            </w:r>
          </w:p>
        </w:tc>
        <w:tc>
          <w:tcPr/>
          <w:p w:rsidR="00000000" w:rsidDel="00000000" w:rsidP="00000000" w:rsidRDefault="00000000" w:rsidRPr="00000000" w14:paraId="00000003">
            <w:pPr>
              <w:shd w:fill="ffffff" w:val="clear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17 de outubro de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Local: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Windsor Guanabara Hotel - Centro, Rio de Janeiro-RJ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Sala: 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Miró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Grupo de Trabalho (GT):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Abdias do Nascimento (vermelha)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Horário de início: 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14h50min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Horário de término: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16h15min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Quantidade de presentes: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 pessoas (final)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Nomes: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Izaide Ribeiro Santos, Rony Coelho, Marcia Pereira e Lara Liz</w:t>
            </w:r>
          </w:p>
        </w:tc>
      </w:tr>
    </w:tbl>
    <w:p w:rsidR="00000000" w:rsidDel="00000000" w:rsidP="00000000" w:rsidRDefault="00000000" w:rsidRPr="00000000" w14:paraId="00000012">
      <w:pPr>
        <w:shd w:fill="ffffff" w:val="clear"/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Aberta a sessão, o facilitador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Rony</w:t>
      </w:r>
      <w:r w:rsidDel="00000000" w:rsidR="00000000" w:rsidRPr="00000000">
        <w:rPr>
          <w:rFonts w:ascii="Arial" w:cs="Arial" w:eastAsia="Arial" w:hAnsi="Arial"/>
          <w:rtl w:val="0"/>
        </w:rPr>
        <w:t xml:space="preserve"> pontuou que essa seria a última atividade do grupo e que consistiria em sistematizar o que foi feito na parte da manhã. Sugeriu que uma pessoa lesse as respostas formuladas pelo grupo e, em seguida, os integrantes que quisessem poderiam se manifestar.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Ivone Costa</w:t>
      </w:r>
      <w:r w:rsidDel="00000000" w:rsidR="00000000" w:rsidRPr="00000000">
        <w:rPr>
          <w:rFonts w:ascii="Arial" w:cs="Arial" w:eastAsia="Arial" w:hAnsi="Arial"/>
          <w:rtl w:val="0"/>
        </w:rPr>
        <w:t xml:space="preserve"> se voluntariou para ler as respostas formuladas pelo grupo. Após a leitura e as contribuições pontuais de alguns integrantes quanto à nomenclatura dos itens, o grupo chegou à seguinte sistematização para ser levada à plenária.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Dinâmica 3 e 4: Ideação do Observatório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Quais públicos o observatório deve considerar em diálogo com o princípio da equidade?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a) População negra</w:t>
        <w:br w:type="textWrapping"/>
        <w:t xml:space="preserve">b) Gestores</w:t>
        <w:br w:type="textWrapping"/>
        <w:t xml:space="preserve">c) Políticos</w:t>
        <w:br w:type="textWrapping"/>
        <w:t xml:space="preserve">d) Pesquisadores/docentes/acadêmicos/pesquisadores do notório saber</w:t>
        <w:br w:type="textWrapping"/>
        <w:t xml:space="preserve">e) Mídia (mídia independente, mídia negra)</w:t>
        <w:br w:type="textWrapping"/>
        <w:t xml:space="preserve">f) Movimentos sociais e sociedade civil não organizada</w:t>
        <w:br w:type="textWrapping"/>
        <w:t xml:space="preserve">g) Profissionais de saúde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Quais temas o observatório deve considerar em diálogo com o princípio da equidade?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a) Racismo como determinante social da saúde: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Racismo estrutural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Racismo institucional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Racismo ambiental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Racismo religioso (intolerância religiosa)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Racismo linguístico</w:t>
        <w:br w:type="textWrapping"/>
        <w:t xml:space="preserve">b) Doenças prevalentes (ex.: doença falciforme, hipertensão, diabetes, câncer etc.) e condições de saúde da população negra (ex.: segurança alimentar)</w:t>
        <w:br w:type="textWrapping"/>
        <w:t xml:space="preserve">c) Saúde das pessoas negras: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Gênero (mulher cis/trans e pessoa com útero: mortalidade materna; gravidez precoce, maternidade solo, solidão da mulher negra; homem cis/trans e pessoa não-binária)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Criança/Adolescente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Pessoas com deficiência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Violência obstétrica e saúde reprodutiva (gravidez de risco, gravidez precoce, mortalidade materna)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LGBTQIA+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Envelhecimento</w:t>
        <w:br w:type="textWrapping"/>
        <w:t xml:space="preserve">d) Saúde da pessoa negra em situação de vulnerabilidade: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Pessoas periféricas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Pessoas em situação de rua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Pessoas privadas de liberdade, encarceradas e/ou em conflito com a lei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Adolescentes em cumprimento de medidas socioeducativas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Pessoas em uso abusivo de álcool e/ou outras drogas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Pessoas com deficiência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Pessoas vítimas de violência de gênero e doméstica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Pessoas em situação de trabalho análogo à escravidão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Pessoas com transtornos mentais</w:t>
        <w:br w:type="textWrapping"/>
        <w:t xml:space="preserve">e) Encarceramento em massa</w:t>
        <w:br w:type="textWrapping"/>
        <w:t xml:space="preserve">f) Formação permanente e educação continuada: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Letramento racial e de gênero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Cursos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Currículos formativos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 Saúde na Escola (PSE)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Formação profissional</w:t>
        <w:br w:type="textWrapping"/>
        <w:t xml:space="preserve">g) Práticas ancestrais</w:t>
        <w:br w:type="textWrapping"/>
        <w:t xml:space="preserve">h) Saúde mental: jovens e adultos: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Dados desagregados de autoextermínio (suicídio) e violência autoprovocada por raça, idade, gênero e classe</w:t>
        <w:br w:type="textWrapping"/>
        <w:t xml:space="preserve">i) Políticas públicas: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Bolsa Família, CAD Único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Política Nacional de Saúde Integral da População Negra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hd w:fill="ffffff" w:val="clear"/>
        <w:spacing w:after="24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Políticas transversais</w:t>
        <w:br w:type="textWrapping"/>
        <w:t xml:space="preserve">j) Práticas culturais</w:t>
        <w:br w:type="textWrapping"/>
        <w:t xml:space="preserve">k) Violência policial</w:t>
        <w:br w:type="textWrapping"/>
        <w:t xml:space="preserve">l) Memórias negras (coletivos negros, movimentos negros e história negra)</w:t>
        <w:br w:type="textWrapping"/>
        <w:t xml:space="preserve">m) Princípios éticos do observatório (ex.: priorizar a contratação de pessoas negras)</w:t>
        <w:br w:type="textWrapping"/>
        <w:t xml:space="preserve">n) Interseccionalidade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360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Com que frequência o observatório deve atualizar as suas informações?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Atualização periódica: a periodicidade vai depender do dado. Alguns dados podem ser atualizados mensalmente, outros bimestralmente, trimestralmente e quadrimestralmente.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Monitoramento contínuo das parcerias: autonomia com curadoria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Revisão dos links com frequência — uma questão de programação que permite a atualização automática quando um link muda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Relatórios anuais de quem faz a gestão do observatório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Prática exitosa do EPI RIO (Observatório Epidemiológico do Rio)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hd w:fill="ffffff" w:val="clear"/>
        <w:spacing w:after="24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Relatórios periódicos a depender da demanda, como eventos adversos (ex.: COVID) ou conferências de saúde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="360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Como o observatório pode ser inclusivo, considerando acessibilidade, letramento digital ou falta de acesso à Internet?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Acessibilidade: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Cuidado com a fonte (tamanho específico, evitando utilizar letras rebuscadas ou com serifas, cores de fundo, contraste): sugestão de consultar o Guia Prático de Acessibilidade e Inclusão Digital (Instituto Legal GROUNDS);</w:t>
        <w:br w:type="textWrapping"/>
        <w:t xml:space="preserve">Braille;</w:t>
        <w:br w:type="textWrapping"/>
        <w:t xml:space="preserve">Processamento sensorial em relação às cores;</w:t>
        <w:br w:type="textWrapping"/>
        <w:t xml:space="preserve">Conteúdo em LIBRAS;</w:t>
        <w:br w:type="textWrapping"/>
        <w:t xml:space="preserve">Legendas: autodescrição;</w:t>
        <w:br w:type="textWrapping"/>
        <w:t xml:space="preserve">Tradução para outros idiomas em razão dos imigrantes negros;</w:t>
        <w:br w:type="textWrapping"/>
        <w:t xml:space="preserve">Diferença linguística em razão da dimensão territorial do Brasil;</w:t>
        <w:br w:type="textWrapping"/>
        <w:t xml:space="preserve">Sempre garantir a diversidade — regional, de gênero e idade — para não ter uma perspectiva única (Fiocruz RJ) e uma história única.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além do letramento digital, é necessário pensar nas pessoas que não possuem letramento algum. Existe uma parcela da população que sequer sabe ler ou escrever, e às vezes mal sabe assinar o próprio nome.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Parcerias com as rádios comunitárias e lideranças locais;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Material impresso para ser distribuído nas UBS e escolas;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Aplicativo, com informações offline;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Podcasts, vídeos curtos com legendas, canais do WhatsApp (vídeos, pequenos conteúdos, áudios);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Grupos de disseminação da informação nas periferias;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hd w:fill="ffffff" w:val="clear"/>
        <w:spacing w:after="24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Mutirões de pessoas – ir de porta em porta.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360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Quais interlocutores são importantes para o observatório?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Grupos de trabalho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SUS Digital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Organização Pan-Americana de Saúde (OPAS)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Colab com INESC para divulgar o orçamento público para saúde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Instituto da Cor – divulga dados sobre racismo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Parceria com o terceiro setor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Conselhos de saúde: conferências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Movimentos sociais: feministas, LGBTQIA+, entre outros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Instituições de ensino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Jornalismo independente nas redes sociais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Institutos que abordem temas correlatos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hd w:fill="ffffff" w:val="clear"/>
        <w:spacing w:after="24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ONGs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360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Quais interlocutores o observatório deve ter cautela em interagir (parcerias e financiamento)?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Parcerias políticas (partidos, pessoas)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Instituições financeiras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Instituições com histórico de discriminação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Instituições com relação ao trabalho escravo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Instituições nacionais e internacionais que não tragam o princípio da equidade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Empresas que causam danos e/ou não contribuem para a sustentabilidade ambiental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Emenda parlamentar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Empresas relacionadas ao agronegócio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Financiadores que possam ou queiram impor alguma ideologia contrária aos princípios éticos do observatório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hd w:fill="ffffff" w:val="clear"/>
        <w:spacing w:after="240" w:before="0" w:beforeAutospacing="0"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Empresas sonegadoras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Dinâmica 5 – Participação e comunicação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="360" w:lineRule="auto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Que estratégias o observatório poderia considerar para buscar influenciar a tomada de decisões de gestores públicos de saúde?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hd w:fill="ffffff" w:val="clear"/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Investir em capacitação antirracista dos gestores: programas de imersão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Uso das mídias pelos movimentos sociais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Projeto Ninar nos terreiros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Formação em letramento racial na segurança pública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Normativa do Ministério da Saúde sobre racismo na saúde — condicionar parte do repasse do recurso do MS para os municípios que formularem o Plano Plurianual em conformidade com a Normativa do MS sobre indicadores propostos na saúde do município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hd w:fill="ffffff" w:val="clear"/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Implicar os gestores para implementação do recorte racial em todas as pactuações, como os planos plurianuais de saúde, de forma que utilizem esses dados direcionados à saúde da população negra.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="360" w:lineRule="auto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Como o observatório pode incluir e compartilhar as contribuições de diferentes grupos sociais envolvidos na SPN (movimentos sociais, pesquisadores, usuários, gestores, profissionais da saúde)?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ffffff" w:val="clear"/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Pesquisadores “populares” que coletem os dados de suas próprias comunidades, observando que não haja um caráter extrativista. População x Elite. Erudito x Popular.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Experiência exitosa: Edital Mãe Gilda de Ogum da Fiocruz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Formação e capacitação das lideranças sociais: fornecer recursos e ferramentas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ffffff" w:val="clear"/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Grupos de trabalho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="360" w:lineRule="auto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Como pode potencializar as ações dos movimentos sociais?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hd w:fill="ffffff" w:val="clear"/>
        <w:spacing w:after="240" w:before="24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Valorizar e contratar os serviços e produtos dos movimentos sociais para dar visibilidade a esses atores.</w:t>
      </w:r>
    </w:p>
    <w:p w:rsidR="00000000" w:rsidDel="00000000" w:rsidP="00000000" w:rsidRDefault="00000000" w:rsidRPr="00000000" w14:paraId="0000006E">
      <w:pPr>
        <w:spacing w:line="360" w:lineRule="auto"/>
        <w:ind w:firstLine="567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Encerrada a atividade às 16h15min.</w:t>
      </w:r>
    </w:p>
    <w:p w:rsidR="00000000" w:rsidDel="00000000" w:rsidP="00000000" w:rsidRDefault="00000000" w:rsidRPr="00000000" w14:paraId="0000006F">
      <w:pPr>
        <w:shd w:fill="ffffff" w:val="clear"/>
        <w:spacing w:after="0" w:line="36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/>
      <w:drawing>
        <wp:inline distB="114300" distT="114300" distL="114300" distR="114300">
          <wp:extent cx="5399730" cy="18034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9730" cy="1803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C13AC8"/>
    <w:pPr>
      <w:ind w:left="720"/>
      <w:contextualSpacing w:val="1"/>
    </w:pPr>
    <w:rPr>
      <w:rFonts w:asciiTheme="minorHAnsi" w:cstheme="minorBidi" w:eastAsiaTheme="minorHAnsi" w:hAnsiTheme="minorHAnsi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SRow4sWHE+8SZJ8g542RKLYy7Q==">CgMxLjAyCGguZ2pkZ3hzOAByITFkMTJEek5VbU8xTGw1djZ1RFFhX283NG9WaWlLWURLOQ==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2024-10-21T00:22:00Z</dcterms:created>
  <dc:creator>07-05-083</dc:creator>
</cp:coreProperties>
</file>