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790"/>
        <w:tblGridChange w:id="0">
          <w:tblGrid>
            <w:gridCol w:w="2835"/>
            <w:gridCol w:w="5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 </w:t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17 de outubro de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Local: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Windsor Guanabara Hotel - Centro, Rio de Janeiro-RJ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de Trabalho (GT):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Luiz Gama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início: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14h44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término: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16h05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de presentes: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participantes + técnicos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Relatores: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Beatriz Bretas e Letícia Lembo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Facilitadores: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Laurenice Pires, Maria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Taíres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Fernando Domene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Dinâmica 2: Perguntas Disparadoras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Que estratégias o Observatório poderia considerar para buscar influenciar na tomada de decisões de gestores públicos de saúde?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incluir e compartilhar as contribuições de diferentes grupos sociais envolvidos na SPN (movimentos sociais, pesquisadores, usuários, gestores, profissionais da saúde)?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pode potencializar as ações dos movimentos sociais?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inovar nas formas de comunicar para chegar aos mais diferentes públicos com a PN?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inovar e interagir diretamente com a PN?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Material:</w:t>
      </w:r>
      <w:r w:rsidDel="00000000" w:rsidR="00000000" w:rsidRPr="00000000">
        <w:rPr>
          <w:rFonts w:ascii="Arial" w:cs="Arial" w:eastAsia="Arial" w:hAnsi="Arial"/>
          <w:rtl w:val="0"/>
        </w:rPr>
        <w:t xml:space="preserve"> Quadro, cartolina branca, caneta piloto preta, bloco de papel, caneta azul e post-it.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</w:t>
      </w:r>
      <w:r w:rsidDel="00000000" w:rsidR="00000000" w:rsidRPr="00000000">
        <w:rPr>
          <w:rFonts w:ascii="Arial" w:cs="Arial" w:eastAsia="Arial" w:hAnsi="Arial"/>
          <w:rtl w:val="0"/>
        </w:rPr>
        <w:t xml:space="preserve"> dá início à dinâmica 2 da tarde, realizando a leitura das cinco questões norteadoras que servirão como base para o debate entre os participantes. Após a apresentação de todas as perguntas, ela retorna à primeira questão e inicia o debate, convidando os participantes a compartilharem suas reflexões e contribuições.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</w:t>
      </w:r>
      <w:r w:rsidDel="00000000" w:rsidR="00000000" w:rsidRPr="00000000">
        <w:rPr>
          <w:rFonts w:ascii="Arial" w:cs="Arial" w:eastAsia="Arial" w:hAnsi="Arial"/>
          <w:rtl w:val="0"/>
        </w:rPr>
        <w:t xml:space="preserve"> enfatiza a importância de uma abordagem nacional para o Observatório, destacando a necessidade de uma agenda focada em ações intangíveis que sustentem um posicionamento crítico. Sugere o uso de um checklist para facilitar o diálogo com o conselho, promovendo uma política transversal e fortalecendo a base.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Melina Tavares</w:t>
      </w:r>
      <w:r w:rsidDel="00000000" w:rsidR="00000000" w:rsidRPr="00000000">
        <w:rPr>
          <w:rFonts w:ascii="Arial" w:cs="Arial" w:eastAsia="Arial" w:hAnsi="Arial"/>
          <w:rtl w:val="0"/>
        </w:rPr>
        <w:t xml:space="preserve"> propõe articular ações com a política do CNJ.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Clarissa Marques</w:t>
      </w:r>
      <w:r w:rsidDel="00000000" w:rsidR="00000000" w:rsidRPr="00000000">
        <w:rPr>
          <w:rFonts w:ascii="Arial" w:cs="Arial" w:eastAsia="Arial" w:hAnsi="Arial"/>
          <w:rtl w:val="0"/>
        </w:rPr>
        <w:t xml:space="preserve"> sugere a elaboração de um relatório com dados de organizações reconhecidas, visando apresentá-los aos gestores de maneira eficaz.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</w:t>
      </w:r>
      <w:r w:rsidDel="00000000" w:rsidR="00000000" w:rsidRPr="00000000">
        <w:rPr>
          <w:rFonts w:ascii="Arial" w:cs="Arial" w:eastAsia="Arial" w:hAnsi="Arial"/>
          <w:rtl w:val="0"/>
        </w:rPr>
        <w:t xml:space="preserve"> menciona a necessidade de discutir a política de saúde prisional, que enfrenta desafios significativos, como a influência de facções e o descumprimento de medidas de direitos. Destaca que detentos com transtornos mentais, que deveriam ser atendidos pelo SUS, muitas vezes permanecem em hospitais de custódia devido à falta de acesso.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Jeane Tavares</w:t>
      </w:r>
      <w:r w:rsidDel="00000000" w:rsidR="00000000" w:rsidRPr="00000000">
        <w:rPr>
          <w:rFonts w:ascii="Arial" w:cs="Arial" w:eastAsia="Arial" w:hAnsi="Arial"/>
          <w:rtl w:val="0"/>
        </w:rPr>
        <w:t xml:space="preserve"> levanta preocupações sobre tentativas de "cura gay" em comunidades terapêuticas.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Bianca Lopes</w:t>
      </w:r>
      <w:r w:rsidDel="00000000" w:rsidR="00000000" w:rsidRPr="00000000">
        <w:rPr>
          <w:rFonts w:ascii="Arial" w:cs="Arial" w:eastAsia="Arial" w:hAnsi="Arial"/>
          <w:rtl w:val="0"/>
        </w:rPr>
        <w:t xml:space="preserve"> observa que o sistema de saúde é predominantemente heteronormativo.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</w:t>
      </w:r>
      <w:r w:rsidDel="00000000" w:rsidR="00000000" w:rsidRPr="00000000">
        <w:rPr>
          <w:rFonts w:ascii="Arial" w:cs="Arial" w:eastAsia="Arial" w:hAnsi="Arial"/>
          <w:rtl w:val="0"/>
        </w:rPr>
        <w:t xml:space="preserve"> reafirma que, no sistema prisional, as pessoas se tornam objetos, ressaltando a necessidade de o Observatório abordar essa questão.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Jéssica Oliveira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destaca a importância de tratar a diversidade de gênero no sistema prisional e chama a atenção para a falta de dados sobre a composição étnica da população encarcerada, além da questão da superlotação.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color w:val="231f20"/>
          <w:u w:val="single"/>
        </w:rPr>
      </w:pPr>
      <w:r w:rsidDel="00000000" w:rsidR="00000000" w:rsidRPr="00000000">
        <w:rPr>
          <w:rFonts w:ascii="Arial" w:cs="Arial" w:eastAsia="Arial" w:hAnsi="Arial"/>
          <w:color w:val="231f20"/>
          <w:u w:val="single"/>
          <w:rtl w:val="0"/>
        </w:rPr>
        <w:t xml:space="preserve">Que estratégias o observatório poderia considerar para buscar influenciar na tomada de decisões de gestores públicos de saúde?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Produzir materiais com foco na defesa de direitos;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Monitorar temas que estão sendo discutidos no CNS para subsidiar os conselhos estaduais e municipais;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Instrumentalizar as produções de análises de dados para os movimentos sociais (sistema prisional, LGBTQIPN+, população em situação de rua);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para gestores;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destaca que o próprio Observatório deve ser um espaço de compartilhamento.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Rui Leandro</w:t>
      </w:r>
      <w:r w:rsidDel="00000000" w:rsidR="00000000" w:rsidRPr="00000000">
        <w:rPr>
          <w:rFonts w:ascii="Arial" w:cs="Arial" w:eastAsia="Arial" w:hAnsi="Arial"/>
          <w:rtl w:val="0"/>
        </w:rPr>
        <w:t xml:space="preserve"> levanta a questão da inclusão, perguntando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André</w:t>
      </w:r>
      <w:r w:rsidDel="00000000" w:rsidR="00000000" w:rsidRPr="00000000">
        <w:rPr>
          <w:rFonts w:ascii="Arial" w:cs="Arial" w:eastAsia="Arial" w:hAnsi="Arial"/>
          <w:rtl w:val="0"/>
        </w:rPr>
        <w:t xml:space="preserve"> se é possível incorporar movimentos de grupos sociais no Observatório da Fiocruz.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André Schmidt</w:t>
      </w:r>
      <w:r w:rsidDel="00000000" w:rsidR="00000000" w:rsidRPr="00000000">
        <w:rPr>
          <w:rFonts w:ascii="Arial" w:cs="Arial" w:eastAsia="Arial" w:hAnsi="Arial"/>
          <w:rtl w:val="0"/>
        </w:rPr>
        <w:t xml:space="preserve"> observa que as ações até o momento foram realizadas sem dados quantitativos. Informa que foi estabelecida uma parceria focada em três temáticas macro, visando gerar atividades sociais por meio de um grupo de trabalho. Ressalta a importância de ter uma agenda que envolva pessoas, grupos e a composição de comitês.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Melina Teixeira</w:t>
      </w:r>
      <w:r w:rsidDel="00000000" w:rsidR="00000000" w:rsidRPr="00000000">
        <w:rPr>
          <w:rFonts w:ascii="Arial" w:cs="Arial" w:eastAsia="Arial" w:hAnsi="Arial"/>
          <w:rtl w:val="0"/>
        </w:rPr>
        <w:t xml:space="preserve"> pergunta como integrar movimentos como Raça e Cor na pesquisa.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Jéssica Oliveira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comenta que o Ministério da Igualdade Racial promove reuniões com grupos sociais e sugere que o Observatório crie uma rede periódica, seja presencial ou virtual, para acompanhar e discutir a saúde da população negra.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André Schmidt</w:t>
      </w:r>
      <w:r w:rsidDel="00000000" w:rsidR="00000000" w:rsidRPr="00000000">
        <w:rPr>
          <w:rFonts w:ascii="Arial" w:cs="Arial" w:eastAsia="Arial" w:hAnsi="Arial"/>
          <w:rtl w:val="0"/>
        </w:rPr>
        <w:t xml:space="preserve"> enfatiza a necessidade de uma dimensão analítica dos dados. Acredita que o Observatório deve realizar análises e sínteses participativas em colaboração com gestores e grupos sociais, gerando grupos de estudo a partir dessas análises.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conclui que essa rede pode incluir diferentes grupos, pesquisadores e outros stakeholders, visando à criação de uma rede colaborativa.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Arial" w:cs="Arial" w:eastAsia="Arial" w:hAnsi="Arial"/>
          <w:color w:val="231f20"/>
          <w:u w:val="single"/>
        </w:rPr>
      </w:pPr>
      <w:r w:rsidDel="00000000" w:rsidR="00000000" w:rsidRPr="00000000">
        <w:rPr>
          <w:rFonts w:ascii="Arial" w:cs="Arial" w:eastAsia="Arial" w:hAnsi="Arial"/>
          <w:color w:val="231f20"/>
          <w:u w:val="single"/>
          <w:rtl w:val="0"/>
        </w:rPr>
        <w:t xml:space="preserve">Como o observatório pode incluir e compartilhar as contribuições de diferentes grupos sociais envolvidos na SPN (movimentos sociais, pesquisadores, usuários, gestores, profissionais da saúde)?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periódicas, presenciais ou virtuais, com grupos sociais envolvidos na saúde da população negra.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uma rede com esses grupos sociais e realizar um processo participativo das produções do Observatório.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Adriano Borges</w:t>
      </w:r>
      <w:r w:rsidDel="00000000" w:rsidR="00000000" w:rsidRPr="00000000">
        <w:rPr>
          <w:rFonts w:ascii="Arial" w:cs="Arial" w:eastAsia="Arial" w:hAnsi="Arial"/>
          <w:rtl w:val="0"/>
        </w:rPr>
        <w:t xml:space="preserve"> enfatiza a importância de valorizar as ações dos movimentos sociais, reconhecendo seu papel significativo e impacto nas questões de saúde e bem-estar da população negra.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complementa que é crucial a inclusão de dados que subsidiem esses movimentos sociais. Destaca que tais dados devem servir como base para fortalecer as reivindicações e orientar as estratégias de atuação dos movimentos.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Conforme acordado entre as partes, as perguntas 3 e 4 foram respondidas no período da manhã. Em virtude do avançar da hora, decidiu-se dar prosseguimento à discussão das demais questões.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Bianca Lopes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destaca a necessidade de considerar diversas formas de linguagem para garantir a inclusão e o entendimento de todos os públicos envolvidos.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</w:t>
      </w:r>
      <w:r w:rsidDel="00000000" w:rsidR="00000000" w:rsidRPr="00000000">
        <w:rPr>
          <w:rFonts w:ascii="Arial" w:cs="Arial" w:eastAsia="Arial" w:hAnsi="Arial"/>
          <w:rtl w:val="0"/>
        </w:rPr>
        <w:t xml:space="preserve"> propõe a promoção da articulação entre conselhos e grupos sociais, facilitando o diálogo e a troca de experiências.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</w:t>
      </w:r>
      <w:r w:rsidDel="00000000" w:rsidR="00000000" w:rsidRPr="00000000">
        <w:rPr>
          <w:rFonts w:ascii="Arial" w:cs="Arial" w:eastAsia="Arial" w:hAnsi="Arial"/>
          <w:rtl w:val="0"/>
        </w:rPr>
        <w:t xml:space="preserve"> sugere a realização de um mapeamento com jovens especializados em inovação e interação de conteúdo, já que eles desenvolveram linguagens adequadas para esse público.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</w:t>
      </w:r>
      <w:r w:rsidDel="00000000" w:rsidR="00000000" w:rsidRPr="00000000">
        <w:rPr>
          <w:rFonts w:ascii="Arial" w:cs="Arial" w:eastAsia="Arial" w:hAnsi="Arial"/>
          <w:rtl w:val="0"/>
        </w:rPr>
        <w:t xml:space="preserve"> reforça a importância de estabelecer contato com organizações não governamentais que já possuem relacionamento com esse público, visando fortalecer as iniciativas.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Luana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salienta a necessidade de responsabilizar o Ministério da Igualdade Racial em suas ações e compromissos.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</w:t>
      </w:r>
      <w:r w:rsidDel="00000000" w:rsidR="00000000" w:rsidRPr="00000000">
        <w:rPr>
          <w:rFonts w:ascii="Arial" w:cs="Arial" w:eastAsia="Arial" w:hAnsi="Arial"/>
          <w:rtl w:val="0"/>
        </w:rPr>
        <w:t xml:space="preserve"> enfatiza que, como coletivo e movimento de luta, devemos exigir responsabilidades do Ministério da Igualdade Racial, implementando uma política transversal e unindo esforços para que a missão seja cumprida.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Bianca Lopes</w:t>
      </w:r>
      <w:r w:rsidDel="00000000" w:rsidR="00000000" w:rsidRPr="00000000">
        <w:rPr>
          <w:rFonts w:ascii="Arial" w:cs="Arial" w:eastAsia="Arial" w:hAnsi="Arial"/>
          <w:rtl w:val="0"/>
        </w:rPr>
        <w:t xml:space="preserve"> informa que, no Programa Nacional de Equidade de Gênero, foram celebrados 12 TEDs, com 9 atualmente em processo de celebração, sendo que 7 dessas iniciativas são excepcionais. Sugere que o Ministério pode mapear essas instituições, dado que já existe um contato estabelecido.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André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Schimdt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destaca a importância de lidar com a demanda espontânea, seja pelo canal do Observatório ou pelas redes sociais, garantindo uma estrutura adequada de pessoal, postura e respostas. Sugere a criação de um canal de denúncias como solução para receber e entregar informações de forma espontânea.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Arial" w:cs="Arial" w:eastAsia="Arial" w:hAnsi="Arial"/>
          <w:color w:val="231f20"/>
          <w:u w:val="single"/>
        </w:rPr>
      </w:pPr>
      <w:r w:rsidDel="00000000" w:rsidR="00000000" w:rsidRPr="00000000">
        <w:rPr>
          <w:rFonts w:ascii="Arial" w:cs="Arial" w:eastAsia="Arial" w:hAnsi="Arial"/>
          <w:color w:val="231f20"/>
          <w:u w:val="single"/>
          <w:rtl w:val="0"/>
        </w:rPr>
        <w:t xml:space="preserve">Como o Observatório pode inovar e interagir diretamente com a PN?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Mapear comunicadores que estão trabalhando com a saúde da população negra e temas afins.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Interagir com órgãos da sociedade civil que trabalham com a saúde da população negra.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Mapear ações relacionadas às questões raciais no governo e na sociedade civil.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Alguns grupos estão se organizando para formar um subgrupo com o objetivo de construir a matriz da estrutura do Observatório.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OBSERVATÓRIO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POTENCIALIDADES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Mobilização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Sustentabilidade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Transformar a realidade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 do desenvolvimento do sistema (DATASUS)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Instrumentalização dos movimentos sociais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Financiamento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Visibilidade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Adesão à terceirização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 em saúde da população negra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FRAGILIDADES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Dificuldade em popularizar o conhecimento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Reestruturação do SUS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 institucionalidade (Bolsistas X Servidor Público)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Reparação histórica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Pública Plena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Produção de informação para instrumentalizar grupos sociais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Garantir os princípios do SUS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Construção coletiva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por decisão unânime, optou-se pela formação de um subgrupo para facilitar a troca de informações e experiências.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Anuncia o encerramento do encontro, afirmando: "Gente, é isso, finalizamos o nosso encontro." 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 grupo finaliza suas atividades às 16h05.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56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5399730" cy="1803400"/>
          <wp:effectExtent b="0" l="0" r="0" t="0"/>
          <wp:docPr id="89007133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730" cy="180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55D98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18245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82454"/>
  </w:style>
  <w:style w:type="paragraph" w:styleId="Rodap">
    <w:name w:val="footer"/>
    <w:basedOn w:val="Normal"/>
    <w:link w:val="RodapChar"/>
    <w:uiPriority w:val="99"/>
    <w:unhideWhenUsed w:val="1"/>
    <w:rsid w:val="0018245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82454"/>
  </w:style>
  <w:style w:type="table" w:styleId="Tabelacomgrade">
    <w:name w:val="Table Grid"/>
    <w:basedOn w:val="Tabelanormal"/>
    <w:uiPriority w:val="39"/>
    <w:rsid w:val="003307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lWVXKk9O1sHTuAVtkTpSiwfcQ==">CgMxLjA4AHIhMTJsdXllRDMyYlVyNl9yV2FMYjR2RWpqdHJ0cldsUTRt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2024-10-17T15:09:00Z</dcterms:created>
  <dc:creator>07-05-083</dc:creator>
</cp:coreProperties>
</file>