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EMP-DOC-E2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사업 중도 해지(타절) 합의서 및 기성고 정산서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발주처 사업 전략 변경 등 불가피한 사유로 인한 단계별 기성고 확정, 선금 상계 및 부제소 분쟁 종결 합의서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적용 대상 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2차 글로벌 법인 확산 구축 사업 (가상 중도정산 시나리오 예시)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발주자 (갑)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(대표이사 최도현)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계약상대자 (을)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합의 해지 사유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유럽 현지 법인 M&amp;A 구조조정에 따른 글로벌 확산 2단계 사업의 차기 연도 순연 결정 (양사 귀책 없음)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제1조 (계약의 원만한 중도 해지 합의)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갑과 을은 경영 환경 변화에 따라 본건 용역 계약을 2026년 08월 31일부로 상호 합의 해지(타절)하며, 해지 시점까지 을이 완수한 기성 산출물(요구분석서, 글로벌 규제 매핑표, 아키텍처 설계서)의 가치를 객관적으로 평가하여 정산한다.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제2조 (객관적 기성고 확정 및 정산 금액 산출표)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정산 항목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 비율 / 수식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금액 (VAT 포함)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검수 및 산출 근거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당초 총 계약 금액 (A)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₩200,000,000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원계약 금액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확정 기성 수행률 (B)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55.0%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-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WBS 가중치 기준 요구분석(20%) + 상세설계(25%) + 초기구현(10%) 완료 검수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기성 확정 인정액 (C = A×B)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55.0%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₩110,000,000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양사 PM 입회 산출물 실사 합격 금액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 수령 선금액 (D)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30.0%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₩60,000,000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착수 시 기 지급된 선금 전액 상계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최종 추가 정산 지급액 (E = C-D)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25.0%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₩50,000,000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본 합의 체결 후 14일 이내 갑이 을에게 현금 지급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제3조 (산출물 인도 및 부제소 특약 — 분쟁의 영구 종결)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을은 본 합의서 체결 후 5영업일 이내에 기성 인정 범위(55.0%)에 해당하는 설계 문서 및 소스코드 일체를 갑에게 인도한다.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갑이 제2조의 최종 정산금(₩50,000,000)을 을에게 지급 완료함과 동시에, 양 당사자는 본 계약과 관련하여 지체상금, 위약금, 손해배상 등 어떠한 민·형사상 이의나 소송도 제기하지 아니할 것을 확약한다.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08월 31일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발주자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최 도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계약상대자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