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0F172A"/>
          <w:sz w:val="44"/>
        </w:rPr>
        <w:t>인 수 인 계 계 획 서</w:t>
      </w:r>
    </w:p>
    <w:p>
      <w:pPr>
        <w:spacing w:after="400"/>
        <w:jc w:val="center"/>
      </w:pPr>
      <w:r>
        <w:rPr>
          <w:rFonts w:ascii="Malgun Gothic" w:hAnsi="Malgun Gothic"/>
          <w:color w:val="64748B"/>
          <w:sz w:val="22"/>
        </w:rPr>
        <w:t>System Handover &amp; Knowledge Transfer Plan - SyncFlow AI 시스템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1. 인수인계 개요 및 목적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본 계획서는 주식회사 한빛글로벌의 「SyncFlow AI 시스템 구축 용역」 완료에 따라, 개발 수행사인 주식회사 엠파시가 구축한 시스템의 소스코드, AI 파이프라인, 서버 인프라, 운영 지식 및 산출물 일체를 발주사 운영 조직에 체계적이고 안정적으로 인계하기 위한 기준과 절차를 규정합니다.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사 업 명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SyncFlow AI 시스템 구축 용역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문서 번호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EMP_IMP_030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인수 조직 (발주사)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한빛글로벌 품질법무운영팀 / IT인프라팀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인계 조직 (수행사)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주식회사 엠파시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인수인계 기간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2026.10.10 ~ 2026.10.16 (1주간)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완료 기준일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2026년 10월 16일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버 전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v1.0 (최종 승인본)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하자보수 기간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2026.10.17 ~ 2027.01.16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발 주 사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9"/>
              </w:rPr>
              <w:t>주식회사 한빛글로벌 (Hanbit Global Corp.)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9"/>
              </w:rPr>
              <w:t>수 행 사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t>㈜엠파시 (Empasy Inc.)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2. 인수인계 기본 방침 및 원칙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업무 연속성 보장: 인수인계 기간 및 완료 이후에도 한빛글로벌 구매계약·기술규격 검증 업무에 일체의 지연이나 공백이 발생하지 않도록 함.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완전성 원칙: 소스코드, AI 모델 프롬프트 및 가중치, DB DDL/DML, 인프라 배포 스크립트, 계정 정보, 산출물 28종 전수를 누락 없이 인계함.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실무 중심 기술 이전: 단순 문서 전달에 그치지 않고, 실제 서버 재기동, AI 룰셋 추가, DB 백업/복구, 외부 연계 장애 처리 실습을 병행함.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하자보수 연계 지원: 인수인계 완료 후 3개월간 전담 엔지니어 긴급 기술지원을 통해 운영팀의 자체 운영 역량 조기 안착을 보장함.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3. 세부 인수인계 대상 및 항목별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F172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인수인계 항목</w:t>
            </w:r>
          </w:p>
        </w:tc>
        <w:tc>
          <w:tcPr>
            <w:tcW w:type="dxa" w:w="5040"/>
            <w:shd w:fill="0F172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세부 인계 내용 및 산출물</w:t>
            </w:r>
          </w:p>
        </w:tc>
        <w:tc>
          <w:tcPr>
            <w:tcW w:type="dxa" w:w="1440"/>
            <w:shd w:fill="0F172A"/>
            <w:vAlign w:val="center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인계 상태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1. 애플리케이션 소스코드 및 형상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Frontend(Vue 3, Vben Admin), Backend(Spring Boot 3.3.5 (Java 21)), AI Server(FastAPI)</w:t>
              <w:br/>
              <w:t>Git 리포지토리 전체 커밋 이력, 브랜치 전략(main/develop/release), CI/CD 파이프라인 스크립트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2. AI 파이프라인 및 지식 베이스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100개 규칙 사전(정규식/독소조항), 공정위·표준원 법령 Vector DB(pgvector), LLM 프롬프트 명세 15종, 골든셋 50문항 벤치마크 데이터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3. 인프라 및 DB 환경 설정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Docker Compose 배포 명세서, Nginx 리버스 프록시 설정, PostgreSQL 16 (RDS) 파라미터 튜닝값, AWS S3 스토리지 버킷 정책, Redis 캐시 설정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4. 계정 및 접근 권한 정보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서버 root/app 계정 SSH 키, PostgreSQL 관리자/앱 계정, AWS S3 Access/Secret Key, PLM-Nexus/SRM-Portal 연계 API 인증 토큰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5. 전 단계 프로젝트 산출물 28종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분석(4종), 설계(6종), 구현(5종), 시험(4종), 이행(5종), 상시(4종) 총 28종 산출물 최신본(v1.0) 구글 드라이브 완비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6. 운영 및 장애 대응 매뉴얼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사용자 매뉴얼(EMP_IMP_050), 운영자 매뉴얼(EMP_IMP_060), 일일 점검 체크리스트, P1~P3 장애 대응 가이드라인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059669"/>
                <w:sz w:val="18"/>
              </w:rPr>
              <w:t>인계 완료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4. 인수인계 교육 및 기술 이전 실적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교육결과보고서(EMP_IMP_070)에 의거하여 발주사 운영자 및 실무자를 대상으로 총 2개 과정 14시간의 교육 및 실습을 완결하였습니다.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교육 과정명</w:t>
            </w:r>
          </w:p>
        </w:tc>
        <w:tc>
          <w:tcPr>
            <w:tcW w:type="dxa" w:w="2160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일시 및 시간</w:t>
            </w:r>
          </w:p>
        </w:tc>
        <w:tc>
          <w:tcPr>
            <w:tcW w:type="dxa" w:w="2160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교육 대상</w:t>
            </w:r>
          </w:p>
        </w:tc>
        <w:tc>
          <w:tcPr>
            <w:tcW w:type="dxa" w:w="3168"/>
            <w:shd w:fill="1E293B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교육 내용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시스템 운영자 기술 이전 과정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2026.10.14 (1일 6시간)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한빛글로벌 IT운영팀 4명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서버/AI 파이프라인 관리, DB 백업/복원, 룰셋 추가, 연계 장애 조치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b/>
                <w:color w:val="1E293B"/>
                <w:sz w:val="18"/>
              </w:rPr>
              <w:t>QA 실무자 사용자 활용 과정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2026.10.15 (1일 8시간)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/>
                <w:color w:val="334155"/>
                <w:sz w:val="18"/>
              </w:rPr>
              <w:t>한빛글로벌 QA팀 18명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/>
                <w:color w:val="334155"/>
                <w:sz w:val="18"/>
              </w:rPr>
              <w:t>검증 접수, AI 판정 결과 분석, 대체 조항 적용, 결재 상신 및 이력 관리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5. 무상 하자보수 및 비상 기술지원 체계</w:t>
      </w:r>
    </w:p>
    <w:p>
      <w:pPr>
        <w:spacing w:after="80" w:line="288" w:lineRule="auto"/>
      </w:pPr>
      <w:r>
        <w:rPr>
          <w:rFonts w:ascii="Malgun Gothic" w:hAnsi="Malgun Gothic"/>
          <w:color w:val="334155"/>
          <w:sz w:val="20"/>
        </w:rPr>
        <w:t>인수인계 완료 이후 3개월간(2026.10.17 ~ 2027.01.16) 무상 하자보수를 실시하며, 아래와 같은 장애 대응 SLA를 준수하여 발주사의 안정적 시스템 운영을 지속 지원합니다.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긴급 장애 (P1, 시스템 마비 또는 AI 검증 전면 불가): 장애 접수 후 30분 이내 대응 착수, 2시간 이내 정상화 조치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중대 결함 (P2, 특정 사업본부 검증 오류 또는 PLM-Nexus 연계 지연): 1시간 이내 대응 착수, 4시간 이내 패치 배포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일반 문의 (P3, 신규 룰셋 추가 가이드, UI 개선 요청): 4시간 이내 답변 및 24시간 이내 조치 완료</w:t>
      </w:r>
    </w:p>
    <w:p>
      <w:pPr>
        <w:spacing w:after="80" w:line="288" w:lineRule="auto"/>
      </w:pPr>
      <w:r>
        <w:rPr>
          <w:rFonts w:ascii="Malgun Gothic" w:hAnsi="Malgun Gothic"/>
          <w:b/>
          <w:color w:val="1E293B"/>
          <w:sz w:val="20"/>
        </w:rPr>
        <w:t xml:space="preserve">• </w:t>
      </w:r>
      <w:r>
        <w:rPr>
          <w:rFonts w:ascii="Malgun Gothic" w:hAnsi="Malgun Gothic"/>
          <w:color w:val="334155"/>
          <w:sz w:val="20"/>
        </w:rPr>
        <w:t>정기 점검 지원: 하자보수 기간 중 월 1회 시스템 리소스 및 DB 상태 점검, 분기 1회 골든셋 정확도 재측정 지원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172A"/>
          <w:sz w:val="28"/>
        </w:rPr>
        <w:t>6. 인수인계 확인 및 서명 날인</w:t>
      </w:r>
    </w:p>
    <w:p>
      <w:pPr>
        <w:spacing w:before="160" w:after="280" w:line="312" w:lineRule="auto"/>
      </w:pPr>
      <w:r>
        <w:rPr>
          <w:rFonts w:ascii="Malgun Gothic" w:hAnsi="Malgun Gothic"/>
          <w:b/>
          <w:color w:val="0F172A"/>
          <w:sz w:val="21"/>
        </w:rPr>
        <w:t>위와 같이 「SyncFlow AI 시스템 구축 용역」의 제반 시스템, 소스코드, AI 모델, 인프라 환경, 운영 매뉴얼 및 산출물 일체에 대하여 인계인수 작업을 성실히 완료하였음을 상호 확인합니다.</w:t>
      </w:r>
    </w:p>
    <w:p>
      <w:pPr>
        <w:spacing w:after="400"/>
        <w:jc w:val="center"/>
      </w:pPr>
      <w:r>
        <w:rPr>
          <w:rFonts w:ascii="Malgun Gothic" w:hAnsi="Malgun Gothic"/>
          <w:b/>
          <w:color w:val="0F172A"/>
          <w:sz w:val="26"/>
        </w:rPr>
        <w:t>2026년 10월 16일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160"/>
              <w:jc w:val="center"/>
            </w:pPr>
            <w:r>
              <w:rPr>
                <w:rFonts w:ascii="Malgun Gothic" w:hAnsi="Malgun Gothic"/>
                <w:b/>
                <w:color w:val="2563EB"/>
                <w:sz w:val="20"/>
              </w:rPr>
              <w:t>인 수 자 (발주사)</w:t>
            </w:r>
          </w:p>
          <w:p>
            <w:pPr>
              <w:spacing w:after="0" w:line="312" w:lineRule="auto"/>
              <w:jc w:val="center"/>
            </w:pPr>
            <w:r>
              <w:rPr>
                <w:rFonts w:ascii="Malgun Gothic" w:hAnsi="Malgun Gothic"/>
                <w:color w:val="334155"/>
                <w:sz w:val="19"/>
              </w:rPr>
              <w:t>주식회사 한빛글로벌</w:t>
              <w:br/>
              <w:t>QA팀 검수책임관</w:t>
              <w:br/>
              <w:br/>
              <w:br/>
              <w:t>성 명 :                  (인)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160"/>
              <w:jc w:val="center"/>
            </w:pPr>
            <w:r>
              <w:rPr>
                <w:rFonts w:ascii="Malgun Gothic" w:hAnsi="Malgun Gothic"/>
                <w:b/>
                <w:color w:val="2563EB"/>
                <w:sz w:val="20"/>
              </w:rPr>
              <w:t>인 계 자 (주사업자)</w:t>
            </w:r>
          </w:p>
          <w:p>
            <w:pPr>
              <w:spacing w:after="0" w:line="312" w:lineRule="auto"/>
              <w:jc w:val="center"/>
            </w:pPr>
            <w:r>
              <w:rPr>
                <w:rFonts w:ascii="Malgun Gothic" w:hAnsi="Malgun Gothic"/>
                <w:color w:val="334155"/>
                <w:sz w:val="19"/>
              </w:rPr>
              <w:t>주식회사 엠파시 (EMPASY)</w:t>
              <w:br/>
              <w:t>사업총괄 PM</w:t>
              <w:br/>
              <w:br/>
              <w:br/>
              <w:t>성 명 :                  (인)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t>인 계 자 (공동수행사)</w:t>
              <w:br/>
              <w:t>주식회사 엠파시 (Empasy Inc.)</w:t>
              <w:br/>
              <w:t>AI 테크니컬 리드</w:t>
              <w:br/>
              <w:br/>
              <w:br/>
              <w:t>성 명 :                  (인)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/>
        <w:color w:val="2563EB"/>
        <w:sz w:val="17"/>
      </w:rPr>
      <w:t>발주사: HANBIT GLOBAL   |   수행사: EMPASY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SyncFlow AI 시스템 구축 | 인수인계계획서 (EMP_IMP_030 v1.0)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