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18"/>
        </w:rPr>
        <w:t>EMPASY ENTERPRISE STANDARD DELIVERABLE  |  EMP_MAN_021</w:t>
      </w:r>
    </w:p>
    <w:p>
      <w:r>
        <w:rPr>
          <w:b/>
          <w:color w:val="0F172A"/>
          <w:sz w:val="36"/>
        </w:rPr>
        <w:t>SyncFlow AI 클라우드 인프라 및 아키텍처 기술 검토 회의록</w:t>
      </w:r>
    </w:p>
    <w:p>
      <w:r>
        <w:rPr>
          <w:color w:val="475569"/>
          <w:sz w:val="21"/>
        </w:rPr>
        <w:t>AWS EKS 5대 모듈 구성, BO/대외연계 ALB 물리 분리, Enterprise Vision OCR 연동 및 PostgreSQL pgvector 설계 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회의 명칭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SyncFlow AI 클라우드 인프라·네트워크·보안 아키텍처 검증 회의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회의 일시 / 장소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2026년 10월 20일 (화) 10:00 ~ 12:00 / 한빛글로벌 IT보안회의실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발주처 참석자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한승우 책임(클라우드인프라팀), 권태호 수석(정보보안센터), 정민수 PM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9"/>
              </w:rPr>
              <w:t>수행사 참석자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박준혁 총괄PM, 최현우 아키텍트, 김태윤 AI리드(㈜엠파시) / 강동현 연계PL(㈜데이터브릿지)</w:t>
            </w:r>
          </w:p>
        </w:tc>
      </w:tr>
    </w:tbl>
    <w:p/>
    <w:p>
      <w:r>
        <w:rPr>
          <w:b/>
          <w:color w:val="0F2942"/>
          <w:sz w:val="25"/>
        </w:rPr>
        <w:t>1. 아키텍처 핵심 결정 사항</w:t>
      </w:r>
    </w:p>
    <w:p>
      <w:pPr>
        <w:spacing w:after="80"/>
      </w:pPr>
      <w:r>
        <w:t>• ALB 물리적 이원화: 사내 임직원이 접속하는 통합 웹 콘솔용 Internal BO ALB(:443)와 전자구매포털(SRM-Portal) 서버 간 API 통신 전용 대외연계 ALB(:18085)를 물리적으로 분리하여 네트워크 접근 통제를 강화함.</w:t>
      </w:r>
    </w:p>
    <w:p>
      <w:pPr>
        <w:spacing w:after="80"/>
      </w:pPr>
      <w:r>
        <w:t>• EKS 5대 컨테이너 모듈 구성: ① 통합 웹(Client/fe :3104), ② 메인 업무 서버(server-be :18080), ③ 대외연계 API 서버(server-api :18085), ④ AI 추론 에이전트(server-agent :18083), ⑤ 일배치 워커(server-batch :18084)로 분리 배포함.</w:t>
      </w:r>
    </w:p>
    <w:p>
      <w:pPr>
        <w:spacing w:after="80"/>
      </w:pPr>
      <w:r>
        <w:t>• Enterprise Vision OCR 및 단일 DB 확정: 다단 계약서 및 CAD 도면 표제란 인식을 위해 사내 표준 Enterprise Vision OCR 게이트웨이(ocr-api.hanbitglobal.internal)와 오픈소스 PaddleOCR 이중화 구성을 채택하며, DB는 AWS RDS PostgreSQL 16(pgvector 1536차원 HNSW 인덱스) 단일 인스턴스로 통합함.</w:t>
      </w:r>
    </w:p>
    <w:p>
      <w:r>
        <w:rPr>
          <w:b/>
          <w:color w:val="0F2942"/>
          <w:sz w:val="25"/>
        </w:rPr>
        <w:t>2. 인프라 및 방화벽 조치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출발지 (Source)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목적지 (Destination)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포트 / 프로토콜</w:t>
            </w:r>
          </w:p>
        </w:tc>
        <w:tc>
          <w:tcPr>
            <w:tcW w:type="dxa" w:w="1728"/>
            <w:shd w:fill="0F2942"/>
          </w:tcPr>
          <w:p>
            <w:r>
              <w:rPr>
                <w:b/>
                <w:color w:val="FFFFFF"/>
                <w:sz w:val="19"/>
              </w:rPr>
              <w:t>합의 및 조치 내용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사내 업무망 PC 대역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SyncFlow BO ALB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TCP 443 (HTTPS)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HB-SSO 인증 기반 QA·관리자 웹 콘솔 접속 허용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전자구매포털 (SRM-Portal)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SyncFlow 대외연계 ALB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TCP 18085 (HTTPS)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대용량 계약서·도면(최대 300MB) 검증 요청 수신 허용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SyncFlow Batch / BE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PLM-Nexus DB / 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TCP 443 / 1521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매일 02:00 자재 BOM·RoHS 한도 및 시험성적서 동기화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SyncFlow AI Agent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Enterprise Vision OCR &amp; LLM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TCP 443 (HTTPS)</w:t>
            </w:r>
          </w:p>
        </w:tc>
        <w:tc>
          <w:tcPr>
            <w:tcW w:type="dxa" w:w="1728"/>
            <w:shd w:fill="F8FAFC"/>
          </w:tcPr>
          <w:p>
            <w:r>
              <w:rPr>
                <w:sz w:val="18"/>
              </w:rPr>
              <w:t>비학습 전용 엔드포인트 TLS 1.3 암호화 통신 허용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