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18"/>
        </w:rPr>
        <w:t>EMPASY ENTERPRISE STANDARD DELIVERABLE  |  EMP_PRE_010</w:t>
      </w:r>
    </w:p>
    <w:p>
      <w:r>
        <w:rPr>
          <w:b/>
          <w:color w:val="0F172A"/>
          <w:sz w:val="36"/>
        </w:rPr>
        <w:t>SyncFlow AI 구축 사전 제안방향서 (Pre-Proposal Direction)</w:t>
      </w:r>
    </w:p>
    <w:p>
      <w:r>
        <w:rPr>
          <w:color w:val="475569"/>
          <w:sz w:val="21"/>
        </w:rPr>
        <w:t>주식회사 한빛글로벌 지능형 공급망(SCM) 구매·조달 계약 및 부품 품질규격 AI 자동 검증 플랫폼 구축을 위한 아키텍처·품질 전략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사 업 명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한빛글로벌 지능형 공급망 구매·조달 계약 및 부품 품질규격 AI 검증 플랫폼(SyncFlow AI) 구축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발 주 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주식회사 한빛글로벌 (구매조달본부 · 품질보증실 · 디지털혁신본부)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제 안 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주식회사 엠파시 (Empasy Inc. 엔터프라이즈 AI 사업부)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작 성 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2026년 09월 01일 (보안등급: 대외비)</w:t>
            </w:r>
          </w:p>
        </w:tc>
      </w:tr>
    </w:tbl>
    <w:p/>
    <w:p>
      <w:r>
        <w:rPr>
          <w:b/>
          <w:color w:val="0F2942"/>
          <w:sz w:val="25"/>
        </w:rPr>
        <w:t>1. 제안 배경 및 핵심 문제 정의</w:t>
      </w:r>
    </w:p>
    <w:p>
      <w:pPr>
        <w:spacing w:after="80"/>
      </w:pPr>
      <w:r>
        <w:t>주식회사 한빛글로벌은 전장시스템, 정밀기계, 스마트팩토리, 배터리모듈 등 4대 주력 사업본부에서 연간 수천 건의 부품 물품공급계약서, 기술시방서(PDF/Word), CAD 설계도면 스냅샷을 검토하고 있습니다.</w:t>
      </w:r>
    </w:p>
    <w:p>
      <w:pPr>
        <w:spacing w:after="80"/>
      </w:pPr>
      <w:r>
        <w:t>그러나 수작업 중검증 법무·품질(QA) 검토로 인해 건당 평균 3영업일의 리드타임이 소요되며, 하도급법 제3조의4(부당한 특약 금지) 개정 기준과 글로벌 환경규제(EU RoHS/REACH), 자동차 품질표준(IATF 16949, ISO 26262)의 실시간 교차 검증에 한계가 발생하고 있습니다.</w:t>
      </w:r>
    </w:p>
    <w:p>
      <w:pPr>
        <w:spacing w:after="80"/>
      </w:pPr>
      <w:r>
        <w:t>이에 주식회사 엠파시는 1) 100대 하도급·품질 금칙조항 룰 엔진(0.2초 필터링), 2) PLM-Nexus 자재 BOM·시험성적서 및 pgvector 하이브리드 RAG 대조, 3) 비학습 상용 LLM 기반 표준 수정조항(Redline) 추천을 결합한 3단계 하이브리드 AI 검증 플랫폼 「SyncFlow AI」를 제안합니다.</w:t>
      </w:r>
    </w:p>
    <w:p>
      <w:r>
        <w:rPr>
          <w:b/>
          <w:color w:val="0F2942"/>
          <w:sz w:val="25"/>
        </w:rPr>
        <w:t>2. 성공적인 과제 완수를 위한 4대 핵심 설계 원칙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942"/>
          </w:tcPr>
          <w:p>
            <w:r>
              <w:rPr>
                <w:b/>
                <w:color w:val="FFFFFF"/>
                <w:sz w:val="19"/>
              </w:rPr>
              <w:t>핵심 원칙</w:t>
            </w:r>
          </w:p>
        </w:tc>
        <w:tc>
          <w:tcPr>
            <w:tcW w:type="dxa" w:w="2880"/>
            <w:shd w:fill="0F2942"/>
          </w:tcPr>
          <w:p>
            <w:r>
              <w:rPr>
                <w:b/>
                <w:color w:val="FFFFFF"/>
                <w:sz w:val="19"/>
              </w:rPr>
              <w:t>당면 과제 및 리스크</w:t>
            </w:r>
          </w:p>
        </w:tc>
        <w:tc>
          <w:tcPr>
            <w:tcW w:type="dxa" w:w="2880"/>
            <w:shd w:fill="0F2942"/>
          </w:tcPr>
          <w:p>
            <w:r>
              <w:rPr>
                <w:b/>
                <w:color w:val="FFFFFF"/>
                <w:sz w:val="19"/>
              </w:rPr>
              <w:t>엠파시(Empasy) 제안 해법 및 아키텍처 전략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① 결정론적 가드레일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단독 추론 시 법령 환각 또는 독소조항 누락 우려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 1 정규식·키워드 100대 룰셋에서 금지(BAN)로 판정된 조항은 Stage 3 LLM이 절대 적격(SAFE)으로 하향할 수 없도록 불변 가드레일 강제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8"/>
              </w:rPr>
              <w:t>② PLM 실데이터 교차검증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계약서상 내구·방수 보증 수치와 실제 시험성적서 불일치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PLM-Nexus 일배치(02:00) 및 실시간 API 연동으로 부품별 자재 BOM(RoHS 함량)과 공인신뢰성 시험성적서(KS R ISO 16750)를 자동 대조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③ 멀티모달 도면·문서 파싱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스캔 기술시방서 및 CAD 도면 표제란·공차 인식 누락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 Vision OCR과 도면 스냅샷 워크벤치를 결합하여 1차 AI 자동 추출 후 현업이 웹에서 바운딩박스를 즉시 보정</w:t>
            </w:r>
          </w:p>
        </w:tc>
      </w:tr>
      <w:tr>
        <w:tc>
          <w:tcPr>
            <w:tcW w:type="dxa" w:w="2880"/>
            <w:shd w:fill="F8FAFC"/>
          </w:tcPr>
          <w:p>
            <w:r>
              <w:rPr>
                <w:sz w:val="18"/>
              </w:rPr>
              <w:t>④ 정량적 골든셋 검수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AI 품질에 대한 주관적 논쟁으로 검수 지연 우려</w:t>
            </w:r>
          </w:p>
        </w:tc>
        <w:tc>
          <w:tcPr>
            <w:tcW w:type="dxa" w:w="2880"/>
            <w:shd w:fill="F8FAFC"/>
          </w:tcPr>
          <w:p>
            <w:r>
              <w:rPr>
                <w:sz w:val="18"/>
              </w:rPr>
              <w:t>착수 초기 법무·QA 전문위원이 공인한 표준 골든셋 50문항을 확정하고, 정밀도(Precision) 92%+ / 재현율(Recall) 95%+ 달성 여부를 정량 검수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