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EMP-DOC-P0-06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기술 수행 타당성 사전 승인서 (Technical Sign-off)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제안서 제출 전 아키텍처 실현 가능성, 성능 SLA 달성률 및 기술 부채 사전 검증서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발주처 / 고객사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(민간 대기업 / 글로벌 모빌리티·헬스관리 그룹)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수행 기간 / 예산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05월 01일 ~ 2026년 10월 31일 (6개월) / 일금 450,000,000원 (VAT 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핵심 기술 스택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Spring Boot 3.3, Python FastAPI, React 18, PostgreSQL 16 (pgvector), AWS EKS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기술 타당성 종합 판정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 (Feasibility Score: 96.5점 / 기술 리스크 통제 완료)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핵심 기술 요구사항 사전 시험검증(PoC)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영역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RFP 요구 기준 (SLA)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사전 PoC 시험검증 결과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기술 및 아키텍처 대책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문서 파싱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복합 레이아웃 PDF/이미지 OCR 인식률 95% 이상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인식률 98.4% 달성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EnterpriseVision Document Parse + Enterprise Vision OCR 이중 파이프라인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하이브리드 RAG 검색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규제 조항·원소재 사전 검색 응답 1.5초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평균 0.42초 달성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PostgreSQL 16 pgvector HNSW 인덱스 + 키워드 RRF 결합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검증 정밀도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골든셋 50문항 기준 Precision 90% 이상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Precision 96.4% 달성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정규식 룰셋(1차) + RAG(2차) + LLM 추론(3차) 체인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연동 안정성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PLM-Nexus·SRM-Portal 일배치 10만건 10분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10만건 3분 12초 완료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Spring Batch 청크 병렬 처리 및 멱등성 재시도 적용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망분리 및 보안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내부 업무망(BO) 및 대외망(FO) 물리·논리 분리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ALB 이원화 검증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Internal ALB(사내 전용) / External ALB 분리 설계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기술 리스크 및 완화 대책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상용 LLM API 장애 및 지연 리스크: Primary(GPT-4o) 응답 지연 시 Fallback(Claude 3.5 Sonnet)으로 2초 내 자동 전환하는 서킷 브레이커를 기본 탑재함.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자재BOM 조성비 기밀 유출 방지: PLM-Nexus 연동 시 원소재 함량 원문은 내부 DB에서만 정규식 대조하고 외부 LLM 프롬프트에는 판정 플래그만 전달하도록 아키텍처 격리 완료.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제안서에 당사 미보유 기술이나 과도한 커스텀 공수 유발 항목이 없음을 기술총괄 및 사업총괄이 상호 확인함.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04월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기술총괄 (Tech Lead)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AI아키텍처실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수석아키텍트 강 동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사업총괄 (PM)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총괄PM 수석 박 진 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승인권자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