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EMP-DOC-P1-02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선금(선급금) 지급 신청서 및 사용계획서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한빛글로벌 SyncFlow AI 시스템 구축 용역 착수 선금(30%) 청구 및 비목별 집행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 (계약번호)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(HB-IT-2026-0042)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계약금액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사억오천만원정 (₩450,000,000, VAT 포함)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금회 선금 신청액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일금 일억삼천오백만원정 (₩135,000,000, 총 계약금액의 30.0%)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입금 계좌 정보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우리은행 1005-802-492011 / 예금주: 주식회사 엠파시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선금보증보험증권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서울보증보험(SGI) 제2026-0504-8821호 (보증금액: ₩135,000,000)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선금 신청 사유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「SyncFlow AI 시스템 구축 사업」의 원활한 초기 착수를 위하여 핵심 AI·백엔드·프론트엔드 전문 인력(9명)의 초기 3개월 직접 인건비, 개발·검증 환경 클라우드 GPU/시뮬레이션 환경 구성비 및 승인 하수급 협력사(㈜데이터브릿지) 선금 배정 자금을 확보하고자 계약 일반조건 제2조에 의거 선금을 신청합니다.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2. 비목별 선금 사용 계획서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비목 구분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 집행 내역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배정 금액 (원)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집행 예정 시기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직접 인건비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PM, AI 아키텍트, 백엔드/프론트엔드 PL 등 본사 전담 인력 초기 인건비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₩95,000,000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70.4%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 ~ 2026.07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하도급 선금 지급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 협력사 ㈜데이터브릿지(기간계 연계 어댑터) 선금 30% 연동 지급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₩18,000,000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13.3%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선금 수령 후 10일 이내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클라우드·AI 시험검증비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개발 샌드박스 환경 구성, 초기 골든셋 500건 멀티모달 OCR/LLM 벤치마크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₩15,000,000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11.1%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 ~ 2026.06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보증·행정 부대비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계약이행보증, 선금보증보험 수수료 및 착수 워크샵·보안장비 세팅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₩7,000,000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5.2%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2026.05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선금 신청 총액 전액 당해 사업 목적 내 집행 확약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₩135,000,000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100.0%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-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3. 선금 사용 준수 확약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당사는 수령한 선금을 본 사업의 수행 목적 이외에 타 용도로 전용하지 않을 것을 확약하며, 하수급인에 대한 선금 지급 증빙(이체확인증)을 지급 완료 후 7일 이내에 귀 사에 제출하겠습니다.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06일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신청인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경영지원본부 / 사업총괄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확인 및 승인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구매전략팀 / 디지털혁신본부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계약담당관 송 민 재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(검토 승인)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