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2563EB"/>
          <w:sz w:val="17"/>
        </w:rPr>
        <w:t>[엠파시 엔터프라이즈 표준 사업관리 서식] 문서번호: EMP-DOC-P5-03 | 사업명: 한빛글로벌 SyncFlow AI 시스템 구축</w:t>
      </w:r>
    </w:p>
    <w:p>
      <w:r>
        <w:rPr>
          <w:rFonts w:ascii="맑은 고딕" w:hAnsi="맑은 고딕" w:eastAsia="맑은 고딕"/>
          <w:b/>
          <w:color w:val="0F172A"/>
          <w:sz w:val="36"/>
        </w:rPr>
        <w:t>SyncFlow AI 사용자 및 시스템 관리자 운영 매뉴얼</w:t>
      </w:r>
    </w:p>
    <w:p>
      <w:r>
        <w:rPr>
          <w:rFonts w:ascii="맑은 고딕" w:hAnsi="맑은 고딕" w:eastAsia="맑은 고딕"/>
          <w:b w:val="0"/>
          <w:color w:val="475569"/>
          <w:sz w:val="21"/>
        </w:rPr>
        <w:t>현업 구매담당자·검토위원용 포털(FO) 활용 가이드 및 IT 운영자용 백오피스(BO)·인프라 일일 점검 매뉴얼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4896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내용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시스템 명칭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한빛글로벌 SyncFlow AI (엔터프라이즈 AI 콘텐츠·규제 검증 자동화 시스템)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접속 URL 안내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사용자 포털(FO): https://syncflow.hanbitglobal.com | 관리자(BO): https://admin-syncflow.hanbitglobal.com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인증 방식</w:t>
            </w:r>
          </w:p>
        </w:tc>
        <w:tc>
          <w:tcPr>
            <w:tcW w:type="dxa" w:w="4896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한빛글로벌 그룹웨어 통합인증 (HB-SSO OAuth 2.0 연동 — 별도 패스워드 불필요)</w:t>
            </w:r>
          </w:p>
        </w:tc>
      </w:tr>
      <w:tr>
        <w:tc>
          <w:tcPr>
            <w:tcW w:type="dxa" w:w="4896"/>
            <w:shd w:fill="EFF6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/>
                <w:color w:val="1E293B"/>
                <w:sz w:val="19"/>
              </w:rPr>
              <w:t>기술지원 헬프데스크</w:t>
            </w:r>
          </w:p>
        </w:tc>
        <w:tc>
          <w:tcPr>
            <w:tcW w:type="dxa" w:w="4896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내선 1190 / syncflow-support@hanbitglobal.com / ㈜엠파시 기술지원팀 (02-850-9100)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1. 일반 현업 사용자(구매담당자·검토위원) 핵심 업무 매뉴얼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업무 단계</w:t>
            </w:r>
          </w:p>
        </w:tc>
        <w:tc>
          <w:tcPr>
            <w:tcW w:type="dxa" w:w="3264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화면 경로 (화면 ID)</w:t>
            </w:r>
          </w:p>
        </w:tc>
        <w:tc>
          <w:tcPr>
            <w:tcW w:type="dxa" w:w="3264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상세 조작 방법 및 실무 팁</w:t>
            </w:r>
          </w:p>
        </w:tc>
      </w:tr>
      <w:tr>
        <w:tc>
          <w:tcPr>
            <w:tcW w:type="dxa" w:w="326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Step 1. 검증 접수</w:t>
            </w:r>
          </w:p>
        </w:tc>
        <w:tc>
          <w:tcPr>
            <w:tcW w:type="dxa" w:w="326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AI 검증 실행 &gt; 신규 등록 (UI-FO-004)</w:t>
            </w:r>
          </w:p>
        </w:tc>
        <w:tc>
          <w:tcPr>
            <w:tcW w:type="dxa" w:w="326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사업본부(전장시스템본부/정밀기계본부 등)와 제품코드(PLM-Nexus 자동 연동)를 선택하고 조달계약조항 텍스트 또는 PDF/이미지를 드래그 앤 드롭으로 업로드합니다.</w:t>
            </w:r>
          </w:p>
        </w:tc>
      </w:tr>
      <w:tr>
        <w:tc>
          <w:tcPr>
            <w:tcW w:type="dxa" w:w="326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Step 2. OCR 영역 검수</w:t>
            </w:r>
          </w:p>
        </w:tc>
        <w:tc>
          <w:tcPr>
            <w:tcW w:type="dxa" w:w="326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AI 검증 실행 &gt; OCR 미리보기 (UI-FO-006)</w:t>
            </w:r>
          </w:p>
        </w:tc>
        <w:tc>
          <w:tcPr>
            <w:tcW w:type="dxa" w:w="326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멀티모달 파서가 추출한 텍스트 박스를 좌우 분할 뷰어로 확인하며, 디자인 폰트 오인식 조항이 있을 경우 인라인 에디터로 즉시 보정합니다.</w:t>
            </w:r>
          </w:p>
        </w:tc>
      </w:tr>
      <w:tr>
        <w:tc>
          <w:tcPr>
            <w:tcW w:type="dxa" w:w="326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Step 3. AI 판정 확인</w:t>
            </w:r>
          </w:p>
        </w:tc>
        <w:tc>
          <w:tcPr>
            <w:tcW w:type="dxa" w:w="326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검증 결과 상세 (UI-FO-009)</w:t>
            </w:r>
          </w:p>
        </w:tc>
        <w:tc>
          <w:tcPr>
            <w:tcW w:type="dxa" w:w="3264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약 8초 후 문장별 신호등 배지(적색: 금지 / 황색: 주의·성적서필요 / 녹색: 적격)와 위반 법령 조항(하도급법 제3조의4(부당특약 금지)), 자재BOM 조성비 대조 결과를 확인합니다.</w:t>
            </w:r>
          </w:p>
        </w:tc>
      </w:tr>
      <w:tr>
        <w:tc>
          <w:tcPr>
            <w:tcW w:type="dxa" w:w="326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Step 4. 표준수정조항 반영</w:t>
            </w:r>
          </w:p>
        </w:tc>
        <w:tc>
          <w:tcPr>
            <w:tcW w:type="dxa" w:w="326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표준수정조항 추천 탭 (UI-FO-010)</w:t>
            </w:r>
          </w:p>
        </w:tc>
        <w:tc>
          <w:tcPr>
            <w:tcW w:type="dxa" w:w="3264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AI가 제안한 3가지 안전 대체 조항 중 하나를 클릭하여 원문에 자동 치환한 뒤 [재검증 실행] 또는 [검증 완료 리포트 PDF 출력]을 클릭합니다.</w:t>
            </w:r>
          </w:p>
        </w:tc>
      </w:tr>
    </w:tbl>
    <w:p/>
    <w:p>
      <w:r>
        <w:rPr>
          <w:rFonts w:ascii="맑은 고딕" w:hAnsi="맑은 고딕" w:eastAsia="맑은 고딕"/>
          <w:b/>
          <w:color w:val="1B365D"/>
          <w:sz w:val="25"/>
        </w:rPr>
        <w:t>2. 시스템 관리자(BO) 및 인프라 운영자 일일 점검 가이드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1. (규제 룰셋 및 법령 지식베이스 갱신) [BO &gt; 규제 룰셋 관리 (UI-BO-001)]에서 신규 독소조항 정규식을 추가하거나, 개정된 공정위·표준원 가이드라인 PDF를 업로드하면 백그라운드에서 pgvector 임베딩이 자동 재색인됩니다.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2. (AI 품질 골든셋 정기 점검) 매주 월요일 08:00에 자동 실행되는 50문항 골든셋 회귀 테스트(UI-BO-010) 결과를 확인하여 Precision 95% 이상 유지 여부를 모니터링합니다.</w:t>
      </w:r>
    </w:p>
    <w:p>
      <w:r>
        <w:rPr>
          <w:rFonts w:ascii="맑은 고딕" w:hAnsi="맑은 고딕" w:eastAsia="맑은 고딕"/>
          <w:b w:val="0"/>
          <w:color w:val="1E293B"/>
          <w:sz w:val="20"/>
        </w:rPr>
        <w:t>3. (일일 헬스체크) 매일 09:00에 EKS 파드 상태, RDS CPU/스토리지(70% 이하), 일배치(02:00 PLM-Nexus 자재BOM 동기화) 성공 여부 및 일일 LLM 토큰 소비량을 점검합니다.</w:t>
      </w:r>
    </w:p>
    <w:p>
      <w:pPr>
        <w:jc w:val="right"/>
      </w:pPr>
      <w:r>
        <w:rPr>
          <w:rFonts w:ascii="맑은 고딕" w:hAnsi="맑은 고딕" w:eastAsia="맑은 고딕"/>
          <w:b/>
          <w:color w:val="0F172A"/>
          <w:sz w:val="21"/>
        </w:rPr>
        <w:t>확정 및 서명일자: 2026년 10월 26일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소속 기관 및 부서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직급 / 성명</w:t>
            </w:r>
          </w:p>
        </w:tc>
        <w:tc>
          <w:tcPr>
            <w:tcW w:type="dxa" w:w="2448"/>
            <w:shd w:fill="1B365D"/>
            <w:tcMar>
              <w:top w:w="110" w:type="dxa"/>
              <w:bottom w:w="110" w:type="dxa"/>
              <w:left w:w="140" w:type="dxa"/>
              <w:right w:w="140" w:type="dxa"/>
            </w:tcMar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서명 / 날인</w:t>
            </w:r>
          </w:p>
        </w:tc>
      </w:tr>
      <w:tr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매뉴얼 작성책임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엠파시 기술문서팀 / 프론트엔드PL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책임 이 하 은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(작성 완료)</w:t>
            </w:r>
          </w:p>
        </w:tc>
      </w:tr>
      <w:tr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인수 확인관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주식회사 한빛글로벌 규제검증팀 / IT정보화팀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팀장 윤 서 연 / 정 태 윤</w:t>
            </w:r>
          </w:p>
        </w:tc>
        <w:tc>
          <w:tcPr>
            <w:tcW w:type="dxa" w:w="2448"/>
            <w:shd w:fill="F8FAFC"/>
            <w:tcMar>
              <w:top w:w="90" w:type="dxa"/>
              <w:bottom w:w="90" w:type="dxa"/>
              <w:left w:w="140" w:type="dxa"/>
              <w:right w:w="140" w:type="dxa"/>
            </w:tcMar>
          </w:tcPr>
          <w:p>
            <w:r/>
            <w:r>
              <w:rPr>
                <w:rFonts w:ascii="맑은 고딕" w:hAnsi="맑은 고딕" w:eastAsia="맑은 고딕"/>
                <w:b w:val="0"/>
                <w:color w:val="1E293B"/>
                <w:sz w:val="19"/>
              </w:rPr>
              <w:t>(인수 완료)</w:t>
            </w:r>
          </w:p>
        </w:tc>
      </w:tr>
    </w:tbl>
    <w:p/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주식회사 엠파시 (Empasy Inc.)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