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2563EB"/>
          <w:sz w:val="17"/>
        </w:rPr>
        <w:t>[엠파시 엔터프라이즈 표준 사업관리 서식] 문서번호: EMP-DOC-S4 | 사업명: 한빛글로벌 SyncFlow AI 시스템 구축</w:t>
      </w:r>
    </w:p>
    <w:p>
      <w:r>
        <w:rPr>
          <w:rFonts w:ascii="맑은 고딕" w:hAnsi="맑은 고딕" w:eastAsia="맑은 고딕"/>
          <w:b/>
          <w:color w:val="0F172A"/>
          <w:sz w:val="36"/>
        </w:rPr>
        <w:t>외주 개발 과업내용서 (Statement of Work)</w:t>
      </w:r>
    </w:p>
    <w:p>
      <w:r>
        <w:rPr>
          <w:rFonts w:ascii="맑은 고딕" w:hAnsi="맑은 고딕" w:eastAsia="맑은 고딕"/>
          <w:b w:val="0"/>
          <w:color w:val="475569"/>
          <w:sz w:val="21"/>
        </w:rPr>
        <w:t>한빛글로벌 기간계(PLM-Nexus·SRM-Portal·HB-SSO) 연계 어댑터 및 일배치 동기화 모듈 상세 SOW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상세 내용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과업 명칭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한빛글로벌 기간계 연계 어댑터 및 일배치 동기화 모듈 개발 (하도급 계약 부속서류)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상위 프로젝트명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SyncFlow AI — 엔터프라이즈 AI 콘텐츠·규제 검증 자동화 시스템 구축 사업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원도급사 / 하수급사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엠파시 / 주식회사 데이터브릿지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과업 수행 기간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2026년 05월 15일 ~ 2026년 09월 30일 (4.5개월)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1. 세부 개발 과업 목록 및 정량적 수용 기준 (Acceptance Criteria)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모듈 ID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인터페이스 / 배치 명칭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기술 규격 및 상세 요구사항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정량적 검수 통과 기준 (SLA)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납기일</w:t>
            </w:r>
          </w:p>
        </w:tc>
      </w:tr>
      <w:tr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IF-SSO-001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HB-SSO 임직원 통합인증 어댑터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OAuth 2.0 / OIDC 기반 Authorization Code 플로우, JWT 발급 및 부서·직급 규격·계약 매핑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토큰 검증 응답 100ms 이내, 미인가 접근 차단율 100%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2026.06.30</w:t>
            </w:r>
          </w:p>
        </w:tc>
      </w:tr>
      <w:tr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IF-MKT-001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SRM-Portal 검증 요청 수신 API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REST POST /api/v1/ext/Spec/submit, 멀티파트 첨부파일 S3 업로드 및 접수번호 반환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동시 100건 요청 시 유실 0건, 응답시간 500ms 이내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2026.07.31</w:t>
            </w:r>
          </w:p>
        </w:tc>
      </w:tr>
      <w:tr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IF-MKT-002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SRM-Portal 검증 결과 Webhook 콜백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검증 완료 시 판정 코드(PASS/WARN/FAIL) 및 PDF 리포트 URL 전송 (지수 백오프 3회 재시도)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콜백 전송 성공률 99.9% 이상, 실패 시 DLQ 적재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2026.08.15</w:t>
            </w:r>
          </w:p>
        </w:tc>
      </w:tr>
      <w:tr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BAT-PRD-001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PLM-Nexus 자재BOM 마스터 일배치 동기화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매일 02:00 읽기전용 뷰(V_AI_INGREDIENT_SPEC) 변경분(Delta) 조회 및 tb_ingredient_mst Upsert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10만 건 변경분 5분 이내 동기화 완료, 정합성 100%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2026.08.31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2. 아키텍처·코딩 표준 및 납품 산출물 준수 요건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1. (전사 개발 표준 준수) Spring Boot 3.3 + Java 21 환경에서 Project Lombok(@Slf4j, @RequiredArgsConstructor, @Builder)을 필수 적용하고, 모든 REST 엔드포인트는 단일 Canonical URL(/api/v1/...) 규격을 준수한다.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2. (필수 제출 산출물) 인터페이스설계서(EMP_DEG_120), 배치프로그램설계서(EMP_DEG_130), 레거시DB연계명세서(EMP_EXE_030) 및 JUnit 5 단위 테스트 결과서(커버리지 85% 이상)를 함께 납품한다.</w:t>
      </w:r>
    </w:p>
    <w:p>
      <w:pPr>
        <w:jc w:val="right"/>
      </w:pPr>
      <w:r>
        <w:rPr>
          <w:rFonts w:ascii="맑은 고딕" w:hAnsi="맑은 고딕" w:eastAsia="맑은 고딕"/>
          <w:b/>
          <w:color w:val="0F172A"/>
          <w:sz w:val="21"/>
        </w:rPr>
        <w:t>확정 및 서명일자: 2026년 05월 15일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소속 기관 및 부서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직급 / 성명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서명 / 날인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원청 기술총괄 (승인)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엠파시 AI아키텍처실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수석 강 동 현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(승인 완료)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하수급 수행책임자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데이터브릿지 기간계연계팀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차장 오 정 훈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(수락 서명)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주식회사 엠파시 (Empasy Inc.)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