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PM-52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SyncGuard AI RESTful API 인터페이스 개발 및 연동 매뉴얼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프론트엔드(FO/BO) · 백엔드(Spring Boot) · AI 추론 워커(FastAPI) · 기간계(MarketingHub) 표준 API 규격서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API 표준 Prefix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/api/v1/syncguard/... (전사 단일 Canonical URL 규격 100% 준수)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인증 및 보안 규격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Bearer JWT (HB-SSO OIDC 발급 토큰) / 대외 연계: X-Hanbit-Api-Key + HMAC-SHA256 서명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공통 응답 포맷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JSON (code, message, data, traceId, timestamp) — OpenAPI 3.0(Swagger) 자동 문서화 제공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핵심 도메인 REST API 엔드포인트 명세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API ID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HTTP Method &amp; Canonical URI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기능 설명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요청/응답 핵심 필드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목표 응답시간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/api/v1/syncguard/auth/sso-callback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OIDC 인가코드 검증 및 사내 세션 JWT 발급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code, state / Res: accessToken, userRole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100ms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API-002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/api/v1/syncguard/claims/upload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심의 파일(PDF/이미지) 업로드 및 OCR 파싱 실행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brandCd, prodCd, file / Res: claimId, ocrBoxes[]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3.0초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/api/v1/syncguard/claims/{claimId}/evaluate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3단계 하이브리드 RAG 기반 표시·광고 규제 심의 실행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claimId, lang / Res: verdict(PASS/WARN/FAIL), items[], alternatives[]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8.5초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API-004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GET /api/v1/syncguard/claims/{claimId}/report-pdf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공식 표시·광고 심의 결과 증명서 PDF 스트림 다운로드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claimId / Res: application/pdf binary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1.5초 이내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PUT /api/v1/syncguard/admin/rules/{ruleId}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BO 100대 규제 룰셋 정규식 수정 및 인메모리 캐시 즉시 리로드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Req: regexPattern, severity, reason / Res: ruleVersion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200ms 이내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API-006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 /api/v1/syncguard/ext/marketing-hub/webhook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마케팅허브 대상 심의 완료 결과 비동기 콜백 발송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Payload: reqNo, verdictCd, reportUrl, hmacSig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500ms 이내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표준 에러 코드 및 재시도 가이드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200 OK: 정상 처리 완료 / 400 Bad Request (ERR_INVALID_FILE_FORMAT: 지원하지 않는 파일 형식)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401 Unauthorized (ERR_SSO_TOKEN_EXPIRED: SSO 토큰 만료) / 403 Forbidden (ERR_RBAC_DENIED: 브랜드 또는 어드민 권한 부족)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• 429 Too Many Requests (ERR_QUOTA_EXCEEDED: 부서 일일 토큰 쿼터 초과) / 503 Service Unavailable (외부 OCR/LLM 폴백 전환 중 — 지수 백오프 재시도 권고)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09월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API 설계·구현 책임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AI백엔드팀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김 태 호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연동 확인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(확인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