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EMP-DOC-E2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사업 중도 해지(타절) 합의서 및 기성고 정산서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발주처 사업 전략 변경 등 불가피한 사유로 인한 단계별 기성고 확정, 선금 상계 및 부제소 분쟁 종결 합의서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적용 대상 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2차 글로벌 법인 확산 구축 사업 (가상 중도정산 시나리오 예시)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발주자 (갑)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(대표이사 최도현)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계약상대자 (을)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(대표이사 김창석)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합의 해지 사유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발주처 유럽 현지 법인 M&amp;A 구조조정에 따른 글로벌 확산 2단계 사업의 차기 연도 순연 결정 (양사 귀책 없음)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제1조 (계약의 원만한 중도 해지 합의)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갑과 을은 경영 환경 변화에 따라 본건 용역 계약을 2026년 08월 31일부로 상호 합의 해지(타절)하며, 해지 시점까지 을이 완수한 기성 산출물(요구분석서, 글로벌 규제 매핑표, 아키텍처 설계서)의 가치를 객관적으로 평가하여 정산한다.</w:t>
      </w:r>
    </w:p>
    <w:p>
      <w:r>
        <w:rPr>
          <w:rFonts w:ascii="맑은 고딕" w:hAnsi="맑은 고딕" w:eastAsia="맑은 고딕"/>
          <w:b/>
          <w:color w:val="1B365D"/>
          <w:sz w:val="25"/>
        </w:rPr>
        <w:t>제2조 (객관적 기성고 확정 및 정산 금액 산출표)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정산 항목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산출 비율 / 수식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금액 (VAT 포함)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검수 및 산출 근거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당초 총 계약 금액 (A)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100.0%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₩200,000,000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원계약 금액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확정 기성 수행률 (B)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55.0%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WBS 가중치 기준 요구분석(20%) + 상세설계(25%) + 초기구현(10%) 완료 검수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기성 확정 인정액 (C = A×B)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55.0%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₩110,000,000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양사 PM 입회 산출물 실사 합격 금액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 수령 선금액 (D)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30.0%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₩60,000,000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착수 시 기 지급된 선금 전액 상계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최종 추가 정산 지급액 (E = C-D)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25.0%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₩50,000,000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본 합의 체결 후 14일 이내 갑이 을에게 현금 지급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제3조 (산출물 인도 및 부제소 특약 — 분쟁의 영구 종결)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을은 본 합의서 체결 후 5영업일 이내에 기성 인정 범위(55.0%)에 해당하는 설계 문서 및 소스코드 일체를 갑에게 인도한다.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갑이 제2조의 최종 정산금(₩50,000,000)을 을에게 지급 완료함과 동시에, 양 당사자는 본 계약과 관련하여 지체상금, 위약금, 손해배상 등 어떠한 민·형사상 이의나 소송도 제기하지 아니할 것을 확약한다.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08월 31일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발주자 (갑)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대표이사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대표이사 최 도 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(법인인감 날인)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계약상대자 (을)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대표이사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대표이사 김 창 석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(법인인감 날인)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