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2563EB"/>
          <w:sz w:val="17"/>
        </w:rPr>
        <w:t>[엠파시 엔터프라이즈 표준 사업관리 서식] 문서번호: EMP-DOC-P5-06 | 사업명: 한빛글로벌 SyncGuard AI 시스템 구축</w:t>
      </w:r>
    </w:p>
    <w:p>
      <w:r>
        <w:rPr>
          <w:rFonts w:ascii="맑은 고딕" w:hAnsi="맑은 고딕" w:eastAsia="맑은 고딕"/>
          <w:b/>
          <w:color w:val="0F172A"/>
          <w:sz w:val="36"/>
        </w:rPr>
        <w:t>하자보수 및 운영 유지관리 서비스 수준 협약서 (SLA)</w:t>
      </w:r>
    </w:p>
    <w:p>
      <w:r>
        <w:rPr>
          <w:rFonts w:ascii="맑은 고딕" w:hAnsi="맑은 고딕" w:eastAsia="맑은 고딕"/>
          <w:b w:val="0"/>
          <w:color w:val="475569"/>
          <w:sz w:val="21"/>
        </w:rPr>
        <w:t>SyncGuard AI 1년 무상 하자보수 범위, 장애 등급별(P1~P4) 대응 SLA 및 AI FinOps 운영 경계 협약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상세 내용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대상 시스템명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한빛글로벌 SyncGuard AI (엔터프라이즈 AI 콘텐츠·규제 심의 자동화 시스템)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무상 하자보수 기간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2026년 11월 01일 ~ 2027년 10월 31일 (최종 검수 완료일 익일로부터 12개월)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하자보수 보증금액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일금 이천이백오십만원정 (₩22,500,000, 계약금액의 5% SGI 증권 제출 완료)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유상 전환 예정일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2027년 11월 01일 (연간 유지관리 요율: 순수 구축 용역비의 12% 기준 별도 계약)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1. 장애 등급별 서비스 수준 협약 (SLA 목표치)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장애 등급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정의 및 발생 상황 (SyncGuard AI 기준)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최초 인지·응답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임시 우회 복구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근본 원인 해결</w:t>
            </w:r>
          </w:p>
        </w:tc>
      </w:tr>
      <w:tr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P1 (치명/전면중단)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FO/BO 전체 접속 불능, HB-SSO 인증 마비, DB 다운으로 전사 심의 중단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15분 이내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1시간 이내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4시간 이내</w:t>
            </w:r>
          </w:p>
        </w:tc>
      </w:tr>
      <w:tr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P2 (주요기능장애)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AI 3단계 추론 파이프라인 오류, OCR 파싱 중단, ProductLab 일배치 실패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30분 이내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2시간 이내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8시간 이내</w:t>
            </w:r>
          </w:p>
        </w:tc>
      </w:tr>
      <w:tr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P3 (부분/경미오류)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특정 브라우저 UI 깨짐, 통계 엑셀 다운로드 지연, PDF 리포트 폰트 어긋남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2시간 이내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1영업일 이내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3영업일 이내</w:t>
            </w:r>
          </w:p>
        </w:tc>
      </w:tr>
      <w:tr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P4 (단순문의/지원)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신규 규제 룰셋 정규식 작성 자문, 현업 사용법 문의, 로그 추출 요청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4시간 이내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-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5영업일 이내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2. 무상 하자보수 vs 유상 유지관리(FinOps 포함) 명확한 경계 기준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3264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무상 하자보수 포함 범위 (1년간 무상)</w:t>
            </w:r>
          </w:p>
        </w:tc>
        <w:tc>
          <w:tcPr>
            <w:tcW w:type="dxa" w:w="3264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유상 유지관리 / 별도 실비 대상 (무상 제외)</w:t>
            </w:r>
          </w:p>
        </w:tc>
      </w:tr>
      <w:tr>
        <w:tc>
          <w:tcPr>
            <w:tcW w:type="dxa" w:w="326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애플리케이션·버그</w:t>
            </w:r>
          </w:p>
        </w:tc>
        <w:tc>
          <w:tcPr>
            <w:tcW w:type="dxa" w:w="326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요구사항정의서(61건) 및 설계서 대비 소스코드 결함, 연산 오류, API 버그 수정</w:t>
            </w:r>
          </w:p>
        </w:tc>
        <w:tc>
          <w:tcPr>
            <w:tcW w:type="dxa" w:w="326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신규 사업부 화면 추가, 타 기간계(ERP/CRM) 신규 인터페이스 개발</w:t>
            </w:r>
          </w:p>
        </w:tc>
      </w:tr>
      <w:tr>
        <w:tc>
          <w:tcPr>
            <w:tcW w:type="dxa" w:w="326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AI 프롬프트·룰셋</w:t>
            </w:r>
          </w:p>
        </w:tc>
        <w:tc>
          <w:tcPr>
            <w:tcW w:type="dxa" w:w="326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기 구축된 100대 규제 룰셋 정규식 오류 수정 및 파서 버그 패치</w:t>
            </w:r>
          </w:p>
        </w:tc>
        <w:tc>
          <w:tcPr>
            <w:tcW w:type="dxa" w:w="326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법령 전면 개정에 따른 신규 도메인(건강기능식품·의료기기 등) 프롬프트 재설계</w:t>
            </w:r>
          </w:p>
        </w:tc>
      </w:tr>
      <w:tr>
        <w:tc>
          <w:tcPr>
            <w:tcW w:type="dxa" w:w="326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클라우드·토큰 실비</w:t>
            </w:r>
          </w:p>
        </w:tc>
        <w:tc>
          <w:tcPr>
            <w:tcW w:type="dxa" w:w="326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EKS/RDS 설정 오류 패치 및 월 1회 정기 예방점검 보고서 제출</w:t>
            </w:r>
          </w:p>
        </w:tc>
        <w:tc>
          <w:tcPr>
            <w:tcW w:type="dxa" w:w="326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AWS 클라우드 인프라 월 사용료 및 OpenAI·Anthropic·Clova API 호출 토큰 실비</w:t>
            </w:r>
          </w:p>
        </w:tc>
      </w:tr>
    </w:tbl>
    <w:p/>
    <w:p>
      <w:pPr>
        <w:jc w:val="right"/>
      </w:pPr>
      <w:r>
        <w:rPr>
          <w:rFonts w:ascii="맑은 고딕" w:hAnsi="맑은 고딕" w:eastAsia="맑은 고딕"/>
          <w:b/>
          <w:color w:val="0F172A"/>
          <w:sz w:val="21"/>
        </w:rPr>
        <w:t>확정 및 서명일자: 2026년 10월 30일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소속 기관 및 부서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직급 / 성명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서명 / 날인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발주처 (갑)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한빛글로벌 IT정보화팀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팀장 정 태 윤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(서명 완료)</w:t>
            </w:r>
          </w:p>
        </w:tc>
      </w:tr>
      <w:tr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수행사 (을)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엠파시 엔터프라이즈사업부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대표이사 김 창 석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(직인 날인)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