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2563EB"/>
          <w:sz w:val="17"/>
        </w:rPr>
        <w:t>[엠파시 엔터프라이즈 표준 사업관리 서식] 문서번호: EMP-DOC-S1 | 사업명: 한빛글로벌 SyncGuard AI 시스템 구축</w:t>
      </w:r>
    </w:p>
    <w:p>
      <w:r>
        <w:rPr>
          <w:rFonts w:ascii="맑은 고딕" w:hAnsi="맑은 고딕" w:eastAsia="맑은 고딕"/>
          <w:b/>
          <w:color w:val="0F172A"/>
          <w:sz w:val="36"/>
        </w:rPr>
        <w:t>소프트웨어 개발 외주 용역 표준도급계약서</w:t>
      </w:r>
    </w:p>
    <w:p>
      <w:r>
        <w:rPr>
          <w:rFonts w:ascii="맑은 고딕" w:hAnsi="맑은 고딕" w:eastAsia="맑은 고딕"/>
          <w:b w:val="0"/>
          <w:color w:val="475569"/>
          <w:sz w:val="21"/>
        </w:rPr>
        <w:t>주식회사 엠파시(원도급자)와 주식회사 데이터브릿지(하수급인) 간의 기간계 연계 어댑터 개발 도급 계약서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상세 내용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상위 프로젝트명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SyncGuard AI — 엔터프라이즈 AI 콘텐츠·규제 심의 자동화 시스템 구축 사업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하도급 과업명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한빛글로벌 기간계(ProductLab·MarketingHub·HB-SSO) 연계 어댑터 및 일배치 동기화 모듈 개발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원도급자 (갑)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(대표이사 김창석, 사업자번호: 119-86-82410)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하수급인 (을)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데이터브릿지 (대표이사 백승호, 사업자번호: 214-88-39201)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도급 계약 금액 / 기간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일금 육천만원정 (₩60,000,000, VAT 포함) / 2026년 05월 15일 ~ 2026년 09월 30일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제1조 (목적 및 과업 범위)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'갑'은 주식회사 한빛글로벌로부터 수주한 「SyncGuard AI 시스템 구축 사업」 중 기간계 데이터 연계 어댑터 및 일배치 동기화 모듈 개발 과업을 '을'에게 도급하며, '을'은 별첨 「외주 과업내용서(SOW)」에 명시된 규격과 일정에 따라 완수하여 납품한다.</w:t>
      </w:r>
    </w:p>
    <w:p>
      <w:r>
        <w:rPr>
          <w:rFonts w:ascii="맑은 고딕" w:hAnsi="맑은 고딕" w:eastAsia="맑은 고딕"/>
          <w:b/>
          <w:color w:val="1B365D"/>
          <w:sz w:val="25"/>
        </w:rPr>
        <w:t>제2조 (도급대금 지급 조건 — 하도급법 준수)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지급 구분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비율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지급 금액 (VAT 포함)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지급 조건 및 법정 기한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선금 (착수금)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30%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₩18,000,000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계약 체결 및 선금보증증권 제출 후 '갑'이 발주처 선금 수령일로부터 15일 이내 현금 지급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중도금 (1차 기성)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40%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₩24,000,000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연계 API 3종 개발계(DEV) 연동 완료 및 단위테스트 통과 시 (2026.07.31)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잔금 (준공금)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30%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₩18,000,000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통합테스트 합격, 산출물(EMP_DEG_120, EMP_EXE_030) 납품 및 검수 완료 후 14일 이내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합계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100%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₩60,000,000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전액 현금 계좌이체 (어음 발행 금지)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제3조 (지식재산권 전속 귀속, 재하도급 금지 및 Back-to-Back 하자담보)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1. (저작재산권 양도) 본 계약에 따라 '을'이 개발한 모든 소스코드, 배치 스크립트, 설계 문서의 저작재산권(2차적저작물작성권 포함)은 대금 지급과 동시에 '갑'에게 전속 귀속된다.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2. (재하도급 전면 금지) 소프트웨어 진흥법 제51조에 의거, '을'은 본 과업의 전부 또는 일부를 제3자에게 재하도급(재하청)할 수 없으며 위반 시 즉시 계약 해제 및 손해배상 책임을 진다.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3. (하자담보 및 지체상금) '을'은 최종 검수 완료일로부터 1년간 무상 하자보수 책임을 부담하며, 귀책 지연 시 1일당 도급금액의 0.075%를 지체상금으로 부담한다.</w:t>
      </w:r>
    </w:p>
    <w:p>
      <w:pPr>
        <w:jc w:val="right"/>
      </w:pPr>
      <w:r>
        <w:rPr>
          <w:rFonts w:ascii="맑은 고딕" w:hAnsi="맑은 고딕" w:eastAsia="맑은 고딕"/>
          <w:b/>
          <w:color w:val="0F172A"/>
          <w:sz w:val="21"/>
        </w:rPr>
        <w:t>확정 및 서명일자: 2026년 05월 15일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소속 기관 및 부서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직급 / 성명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서명 / 날인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원도급자 (갑)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대표이사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대표이사 김 창 석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(법인인감 날인)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하수급인 (을)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데이터브릿지 대표이사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대표이사 백 승 호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(법인인감 날인)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