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EMP-DOC-S4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외주 개발 과업내용서 (Statement of Work)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한빛글로벌 기간계(ProductLab·MarketingHub·HB-SSO) 연계 어댑터 및 일배치 동기화 모듈 상세 SOW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과업 명칭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기간계 연계 어댑터 및 일배치 동기화 모듈 개발 (하도급 계약 부속서류)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상위 프로젝트명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원도급사 / 하수급사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/ 주식회사 데이터브릿지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과업 수행 기간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05월 15일 ~ 2026년 09월 30일 (4.5개월)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세부 개발 과업 목록 및 정량적 수용 기준 (Acceptance Criteria)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모듈 ID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인터페이스 / 배치 명칭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기술 규격 및 상세 요구사항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정량적 검수 통과 기준 (SLA)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납기일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IF-SSO-001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HB-SSO 임직원 통합인증 어댑터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OAuth 2.0 / OIDC 기반 Authorization Code 플로우, JWT 발급 및 부서·직급 클레임 매핑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토큰 검증 응답 100ms 이내, 미인가 접근 차단율 100%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2026.06.30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IF-MKT-001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MarketingHub 심의 요청 수신 API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REST POST /api/v1/ext/claims/submit, 멀티파트 첨부파일 S3 업로드 및 접수번호 반환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동시 100건 요청 시 유실 0건, 응답시간 500ms 이내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2026.07.31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IF-MKT-002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MarketingHub 심의 결과 Webhook 콜백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심의 완료 시 판정 코드(PASS/WARN/FAIL) 및 PDF 리포트 URL 전송 (지수 백오프 3회 재시도)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콜백 전송 성공률 99.9% 이상, 실패 시 DLQ 적재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2026.08.15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BAT-PRD-001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ProductLab 전성분 마스터 일배치 동기화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매일 02:00 읽기전용 뷰(V_AI_INGREDIENT_SPEC) 변경분(Delta) 조회 및 tb_ingredient_mst Upsert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10만 건 변경분 5분 이내 동기화 완료, 정합성 100%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2026.08.31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아키텍처·코딩 표준 및 납품 산출물 준수 요건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(전사 개발 표준 준수) Spring Boot 3.3 + Java 21 환경에서 Project Lombok(@Slf4j, @RequiredArgsConstructor, @Builder)을 필수 적용하고, 모든 REST 엔드포인트는 단일 Canonical URL(/api/v1/...) 규격을 준수한다.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(필수 제출 산출물) 인터페이스설계서(EMP_DEG_120), 배치프로그램설계서(EMP_DEG_130), 레거시DB연계명세서(EMP_EXE_030) 및 JUnit 5 단위 테스트 결과서(커버리지 85% 이상)를 함께 납품한다.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05월 15일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원청 기술총괄 (승인)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AI아키텍처실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강 동 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(승인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하수급 수행책임자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데이터브릿지 기간계연계팀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차장 오 정 훈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(수락 서명)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