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물 리  데 이 터  모 델  설 계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Physical Data Model Specification - SyncFlow AI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물리 데이터베이스 환경 및 사양</w:t>
      </w:r>
    </w:p>
    <w:p>
      <w:pPr>
        <w:spacing w:after="80" w:line="288" w:lineRule="auto"/>
      </w:pPr>
      <w:r>
        <w:t>본 문서는 논리 데이터 모델을 기반으로 AWS RDS PostgreSQL 16 Enterprise RDBMS 및 pgvector 확장을 적용하여 설계된 물리 테이블 구조, 데이터 타입, 물리 인덱스 및 저장 공간 튜닝 명세를 정의합니다.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DBMS 솔루션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AWS RDS PostgreSQL 16 (Multi-AZ)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확장 확장 모듈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pgvector 1536차원 (단일 DB 벡터 검색)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문자 집합 (Charset)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UTF-8 (Unicode)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정렬 (Collation)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ko_KR.utf8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스토리지 전략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AWS GP3 SSD 암호화 볼륨 (AWS S3 계약·도서·스냅샷 연동)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백업 주기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일일 자동 스냅샷 + WAL 아카이빙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문서 번호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EMP_DEG_100 (v1.1)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참조 문서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EMP_DEG_080 (DB명세서 v1.1)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핵심 물리 테이블 및 인덱스 전략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물리 테이블명</w:t>
            </w:r>
          </w:p>
        </w:tc>
        <w:tc>
          <w:tcPr>
            <w:tcW w:type="dxa" w:w="504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물리 컬럼 및 저장 속성 요약</w:t>
            </w:r>
          </w:p>
        </w:tc>
        <w:tc>
          <w:tcPr>
            <w:tcW w:type="dxa" w:w="1872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물리 인덱스 전략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verify_request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검증 접수 메인 테이블 (요청번호, 사업본부코드, 신청자사번, 검증상태[DRAFT/REQUESTED/QUEUED/ANALYZING/FAILED/CONFIRMED], 등록일시)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PK(id), IDX(req_no), IDX(brand_code, status)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verify_review_result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AI 판정 결과 테이블 (판정등급 녹/청/황/적, 종합신뢰도, 분석소요시간, 판정일시)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PK(id), FK(request_id), IDX(judgment_grade)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verify_rule_dictionary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규칙 사전 100종 (규칙코드, 금지/주의구분, 패턴정규식, 근거법령조항, 활성여부)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PK(rule_id), GIN Trigram(pattern_regex)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guideline_vector_index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공정위·표준원 법령·심결사례 RAG 벡터 테이블 (문서ID, 조항텍스트, PG Vector 1536차원 임베딩 벡터 단일화)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PK(doc_id), HNSW Vector Index (cosine)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verify_recommend_phrase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대체 추천 조항 100종 (원문표현, 추천표준대안, 법령근거, 추천우선순위)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PK(id), IDX(original_phrase)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api_interface_log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외부 연계 통신 로그 (SRM-Portal 의뢰/회신, PLM-Nexus 자재BOM/시험검증, SSO, [Option] HB-Monitor 통신 이력)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PK(log_id), IDX(created_at DESC, api_type)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물리 스토리지 및 파티셔닝 정책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1) 대용량 인터페이스 로그 테이블 파티셔닝: api_interface_log 테이블은 월 단위 Range 파티셔닝을 적용하여 쿼리 성능을 최적화함.</w:t>
      </w:r>
    </w:p>
    <w:p>
      <w:pPr>
        <w:spacing w:after="80" w:line="288" w:lineRule="auto"/>
      </w:pPr>
      <w:r>
        <w:t>2) 고속 벡터 검색 PG Vector 1536차원 HNSW 인덱스: 별도 외부 벡터 DB 없이 PostgreSQL pgvector 확장(VECTOR(1536))으로 단일화하고 HNSW(m=16, ef_construction=64) 인덱스를 생성하여 밀리초 단위 유사도 검색을 수행함.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3) 데이터 보관 주기(Retention Policy): 검증 원본 및 판정 결과는 구매계약·기술규격 관리규정 법정 보존 기한(3년) 동안 보관 후 아카이빙.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SyncFlow AI 시스템 구축 | 물리 데이터 모델 설계서 (EMP_DEG_100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