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18"/>
        </w:rPr>
        <w:t>EMPASY ENTERPRISE STANDARD DELIVERABLE  |  EMP_MAN_020</w:t>
      </w:r>
    </w:p>
    <w:p>
      <w:r>
        <w:rPr>
          <w:b/>
          <w:color w:val="0F172A"/>
          <w:sz w:val="36"/>
        </w:rPr>
        <w:t>SyncFlow AI 구축 프로젝트 착수 킥오프(Kick-off) 회의록</w:t>
      </w:r>
    </w:p>
    <w:p>
      <w:r>
        <w:rPr>
          <w:color w:val="475569"/>
          <w:sz w:val="21"/>
        </w:rPr>
        <w:t>사업 추진 목표, 과업 범위 확정, 3단계 하이브리드 AI 아키텍처, 기간계 연계 및 마일스톤(M1~M6) 합의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9"/>
              </w:rPr>
              <w:t>회의 명칭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한빛글로벌 SyncFlow AI 시스템 구축 사업 착수 킥오프 회의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9"/>
              </w:rPr>
              <w:t>회의 일시 / 장소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2026년 10월 16일 (금) 14:00 ~ 16:00 / 한빛글로벌 본사 대회의실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9"/>
              </w:rPr>
              <w:t>발주처 참석자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정민수 PM(디지털혁신본부), 한승우 책임(IT인프라팀), 최윤아 팀장·윤서연 수석(법무·품질보증실)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9"/>
              </w:rPr>
              <w:t>수행사 참석자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박준혁 총괄PM, 김태윤 AI리드, 최현우 백엔드PL, 이지훈 PMO(㈜엠파시) / 강동현 연계PL(㈜데이터브릿지)</w:t>
            </w:r>
          </w:p>
        </w:tc>
      </w:tr>
    </w:tbl>
    <w:p/>
    <w:p>
      <w:r>
        <w:rPr>
          <w:b/>
          <w:color w:val="0F2942"/>
          <w:sz w:val="25"/>
        </w:rPr>
        <w:t>1. 주요 회의 안건 및 합의 사항</w:t>
      </w:r>
    </w:p>
    <w:p>
      <w:pPr>
        <w:spacing w:after="80"/>
      </w:pPr>
      <w:r>
        <w:t>• 사업 공식 명칭 및 목표: 「한빛글로벌 지능형 공급망 구매·조달 계약 및 부품 품질규격 AI 검증 플랫폼(SyncFlow AI) 구축」으로 확정하며, 물품공급계약서·기술시방서·CAD 설계도면 스냅샷의 하도급법 및 품질규격 위배 여부를 AI가 1차 검증하고 법무·QA 전문위원의 최종 승인을 지원함.</w:t>
      </w:r>
    </w:p>
    <w:p>
      <w:pPr>
        <w:spacing w:after="80"/>
      </w:pPr>
      <w:r>
        <w:t>• 과업 범위 및 경계 확정: 국·영문 혼용 구매계약서 및 기술시방서(PPTX, PDF, Word, 고해상도 이미지)와 CAD 설계도면 스냅샷 검증을 본 과업 범위에 포함하며, 3D 솔리드 모델링 구조 해석은 본 과업에서 제외하기로 합의함.</w:t>
      </w:r>
    </w:p>
    <w:p>
      <w:pPr>
        <w:spacing w:after="80"/>
      </w:pPr>
      <w:r>
        <w:t>• 비학습 엔터프라이즈 LLM 보안: 한빛글로벌의 미출시 신차종 부품 사양 및 단가 정보가 외부 AI 모델 학습에 절대 활용되지 않도록 Zero-Data Retention 기업용 전용 엔드포인트만 사용하기로 확정함.</w:t>
      </w:r>
    </w:p>
    <w:p>
      <w:r>
        <w:rPr>
          <w:b/>
          <w:color w:val="0F2942"/>
          <w:sz w:val="25"/>
        </w:rPr>
        <w:t>2. 후속 실행 과제 (Action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2942"/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1728"/>
            <w:shd w:fill="0F2942"/>
          </w:tcPr>
          <w:p>
            <w:r>
              <w:rPr>
                <w:b/>
                <w:color w:val="FFFFFF"/>
                <w:sz w:val="19"/>
              </w:rPr>
              <w:t>실행 과업 내용 (Action Item)</w:t>
            </w:r>
          </w:p>
        </w:tc>
        <w:tc>
          <w:tcPr>
            <w:tcW w:type="dxa" w:w="1728"/>
            <w:shd w:fill="0F2942"/>
          </w:tcPr>
          <w:p>
            <w:r>
              <w:rPr>
                <w:b/>
                <w:color w:val="FFFFFF"/>
                <w:sz w:val="19"/>
              </w:rPr>
              <w:t>담당 조직 / 담당자</w:t>
            </w:r>
          </w:p>
        </w:tc>
        <w:tc>
          <w:tcPr>
            <w:tcW w:type="dxa" w:w="1728"/>
            <w:shd w:fill="0F2942"/>
          </w:tcPr>
          <w:p>
            <w:r>
              <w:rPr>
                <w:b/>
                <w:color w:val="FFFFFF"/>
                <w:sz w:val="19"/>
              </w:rPr>
              <w:t>목표 기한</w:t>
            </w:r>
          </w:p>
        </w:tc>
        <w:tc>
          <w:tcPr>
            <w:tcW w:type="dxa" w:w="1728"/>
            <w:shd w:fill="0F2942"/>
          </w:tcPr>
          <w:p>
            <w:r>
              <w:rPr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AWS EKS 개발계(DEV) VPC·서브넷 및 사내 방화벽 오픈 신청서 제출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㈜엠파시 최현우 PL / 한빛글로벌 한승우 책임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2026-10-20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진행중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하도급법 금칙조항 100선 및 과거 3개년 계약·시방서 반려 사례 샘플 전달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한빛글로벌 법무·QA팀 최윤아 팀장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2026-10-21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진행중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전자구매포털(SRM-Portal) 및 피엘엠넥서스(PLM-Nexus) 인터페이스 규격 확정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㈜데이터브릿지 강동현 PL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2026-10-23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진행중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AI 정밀도 검수용 표준 골든셋 50문항 선정 및 정답 라벨링 기준 수립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㈜엠파시 김태윤 리드 / 한빛글로벌 윤서연 수석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2026-10-28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예정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