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18"/>
        </w:rPr>
        <w:t>EMPASY ENTERPRISE STANDARD DELIVERABLE  |  EMP_MAN_022</w:t>
      </w:r>
    </w:p>
    <w:p>
      <w:r>
        <w:rPr>
          <w:b/>
          <w:color w:val="0F172A"/>
          <w:sz w:val="36"/>
        </w:rPr>
        <w:t>SyncFlow AI 주간 공정 및 설계 검토 회의록</w:t>
      </w:r>
    </w:p>
    <w:p>
      <w:r>
        <w:rPr>
          <w:color w:val="475569"/>
          <w:sz w:val="21"/>
        </w:rPr>
        <w:t>화면설계서(UI 스토리보드) 확정, CAD 설계도면 스냅샷 보정 워크플로우, 시험성적서 대조 및 검증 이력 상충 감지 합의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명칭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SyncFlow AI 구축 사업 주간 공정 보고 및 상세설계 리뷰 회의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일시 / 장소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2026년 10월 22일 (목) 15:00 ~ 17:00 / 한빛글로벌 스마트워크 회의실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발주처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정민수 PM, 최윤아 팀장, 윤서연 수석, 배수빈 책임(구매조달본부)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수행사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박준혁 총괄PM, 김태윤 AI리드, 최현우 백엔드PL, 임도현 프론트PL(㈜엠파시)</w:t>
            </w:r>
          </w:p>
        </w:tc>
      </w:tr>
    </w:tbl>
    <w:p/>
    <w:p>
      <w:r>
        <w:rPr>
          <w:b/>
          <w:color w:val="0F2942"/>
          <w:sz w:val="25"/>
        </w:rPr>
        <w:t>1. 금주 주요 협의 및 설계 확정 사항</w:t>
      </w:r>
    </w:p>
    <w:p>
      <w:pPr>
        <w:spacing w:after="80"/>
      </w:pPr>
      <w:r>
        <w:t>• 역할별 화면 이원화: 구매담당자(Buyer)는 전자구매포털(SRM-Portal)에서 계약서·시방서 검증을 신청하고 결과를 바로 확인하며, 법무·QA 전문위원은 SyncFlow AI 전용 워크벤치(UI-SCM-004, UI-QAL-001)에서 조항별 정밀 대조 및 최종 승인을 수행함.</w:t>
      </w:r>
    </w:p>
    <w:p>
      <w:pPr>
        <w:spacing w:after="80"/>
      </w:pPr>
      <w:r>
        <w:t>• CAD 설계도면 스냅샷 검증 방식: 대용량 도면 도면도면패키지 업로드 시 AI가 1차로 표제란·공차·주기(Note) 영역 스냅샷과 텍스트를 자동 추출하고, 사용자가 웹 뷰어에서 누락 구간을 드래그 보정하여 재분석하는 2단계 워크플로우로 확정함.</w:t>
      </w:r>
    </w:p>
    <w:p>
      <w:pPr>
        <w:spacing w:after="80"/>
      </w:pPr>
      <w:r>
        <w:t>• 시험성적서 대조 및 판정 상충 관리: 약 400페이지 분량의 공인신뢰성 시험성적서(PDF)에서 핵심 시험 조건과 결과 수치를 식별하여 계약서 보증 조항과 대조하며, 동일 조항에 대해 과거 승인 이력과 상충하는 판정이 발생할 경우 시스템이 자동 경고 배지를 표시하기로 함.</w:t>
      </w:r>
    </w:p>
    <w:p>
      <w:r>
        <w:rPr>
          <w:b/>
          <w:color w:val="0F2942"/>
          <w:sz w:val="25"/>
        </w:rPr>
        <w:t>2. 차주 핵심 추진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2942"/>
          </w:tcPr>
          <w:p>
            <w:r>
              <w:rPr>
                <w:b/>
                <w:color w:val="FFFFFF"/>
                <w:sz w:val="19"/>
              </w:rPr>
              <w:t>일정</w:t>
            </w:r>
          </w:p>
        </w:tc>
        <w:tc>
          <w:tcPr>
            <w:tcW w:type="dxa" w:w="2160"/>
            <w:shd w:fill="0F2942"/>
          </w:tcPr>
          <w:p>
            <w:r>
              <w:rPr>
                <w:b/>
                <w:color w:val="FFFFFF"/>
                <w:sz w:val="19"/>
              </w:rPr>
              <w:t>대상 모듈 / 산출물</w:t>
            </w:r>
          </w:p>
        </w:tc>
        <w:tc>
          <w:tcPr>
            <w:tcW w:type="dxa" w:w="2160"/>
            <w:shd w:fill="0F2942"/>
          </w:tcPr>
          <w:p>
            <w:r>
              <w:rPr>
                <w:b/>
                <w:color w:val="FFFFFF"/>
                <w:sz w:val="19"/>
              </w:rPr>
              <w:t>세부 추진 내용</w:t>
            </w:r>
          </w:p>
        </w:tc>
        <w:tc>
          <w:tcPr>
            <w:tcW w:type="dxa" w:w="2160"/>
            <w:shd w:fill="0F2942"/>
          </w:tcPr>
          <w:p>
            <w:r>
              <w:rPr>
                <w:b/>
                <w:color w:val="FFFFFF"/>
                <w:sz w:val="19"/>
              </w:rPr>
              <w:t>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10.26 (월)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화면설계서 (EMP_DEG_050)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14슬라이드 UI/UX 와이어프레임 및 화면 ID(UI-SCM-001~UI-ADM-001) 최종 승인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임도현 PL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10.27 (화)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DB 명세서 (EMP_DEG_080)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PostgreSQL 16 물리 테이블 18종 및 pgvector HNSW 인덱스 DDL 배포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최현우 PL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10.29 (목)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추론 설계 (EMP_DEG_150)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3단계 하이브리드 프롬프트 체인 및 100대 금칙조항 정규식 엔진 프로토타입 시연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김태윤 리드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