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EMP-DOC-P1-05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과업 범위 확정 및 요구사항 동결 합의서 (Scope Freeze Sign-off)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Phase 2 요구분석 완료에 따른 61개 요구사항 확정 선언 및 구두 요구사항 무효화·변경통제 합의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SyncFlow AI — 엔터프라이즈 AI 콘텐츠·규제 검증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동결 기준 산출물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요구사항정의서(EMP_ANL_020 v1.0), 요구사항추적표(EMP_ANL_030 v1.0), 연계규격협의서(EMP_ANL_050 v1.0)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확정 요구사항 총수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총 61건 (기능 25건, 데이터 6건, 인터페이스 6건, 비기능·성능·보안·관리 24건)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Scope Freeze 발효일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06월 15일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도메인별 확정 과업 범위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요구사항 분류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식별 코드 범위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확정 범위 요약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기능 요구사항 (SFR)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SFR-001 ~ SFR-025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25건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멀티모달 파일 업로드, OCR 텍스트 추출, 3단계 AI 규제 검증, 결과 리포트·표준수정조항 추천, BO 룰셋 관리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100% 수용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데이터 요구사항 (DAR)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DAR-001 ~ DAR-006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6건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표준용어·공통코드 제정, 100대 규제 룰셋 사전, pgvector 임베딩 인덱스, PLM-Nexus 뷰 매핑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100% 수용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인터페이스 (IFR)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IFR-001 ~ IFR-006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6건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HB-SSO 인증, SRM-Portal 검증 연동, PLM-Nexus 자재BOM 배치, Enterprise Vision OCR / EnterpriseVision / LLM API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100% 수용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성능·보안·품질 (NFR)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PER/SEC/QUR/MAR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24건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단건 검증 15초 이내, 동시 200 VU, 골든셋 정밀도 95%+, OWASP·시큐어코딩 49개 준수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100% 수용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합계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전 영역 총계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61건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요구사항 추적표(RTM) 양방향 매핑 100% 완료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범위 동결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과업 범위 동결(Scope Freeze) 4대 합의 원칙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(과업 범위의 최종성) 양 당사자는 본 합의서에 첨부된 요구사항정의서(EMP_ANL_020 v1.0, 총 61건)만을 본 사업의 공식 개발 범위로 확정한다.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(구두 요구의 효력 부인) 본 합의일 이후 회의, 이메일, 메신저 등을 통한 비공식 구두 요청은 계약적 구속력을 갖지 아니한다.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(공식 변경통제 절차) 법령 긴급 개정이나 현업 정책 변경으로 사양 추가·변경이 필요한 경우, 반드시 공식 과업변경요청서(CR Form)를 제출하여 기술 영향도 및 공수(5 M/D 초과 시 일정·비용 연동)를 상호 합의한다.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4. (상세설계 단계 진입 승인) 발주처는 분석 단계 산출물을 최종 승인하며 Phase 3 상세설계 단계 진입에 동의한다.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06월 15일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발주처 현업총괄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규제검증팀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발주처 IT총괄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수행사 사업총괄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 박 진 우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