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EMP-DOC-P1-01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소프트웨어 개발 용역 표준계약서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주식회사 한빛글로벌 SyncFlow AI 시스템 구축 용역 계약 일반조건 및 특약사항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계약 건명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계약 번호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HB-IT-2026-0042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계약 금액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사억오천만원정 (₩450,000,000, 부가가치세 포함)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계약 기간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05월 01일 ~ 2026년 10월 31일 (총 6개월)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하자담보책임기간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최종 검수 완료일 익일로부터 1년간 (하자보수보증금율 5%)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제1조 (계약의 목적 및 과업 범위)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발주자 주식회사 한빛글로벌(이하 '갑')과 계약상대자 주식회사 엠파시(이하 '을')는 계약·기술규격 규제 검증 자동화를 위한 「SyncFlow AI 시스템」을 구축함에 있어 상호 권리와 의무를 규정한다. 세부 과업 범위는 제안요청서(RFP), 기술제안서 및 승인된 사업수행계획서(EMP_INT_010)에 따른다.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제2조 (계약대금의 지급 조건 및 시기)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구분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비율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금액 (VAT 포함)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조건 및 증빙 서류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예정 시기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선금 (착수금)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₩135,000,000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계약 체결 후 착수계 및 선금보증보험증권 제출 후 14일 이내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2026.05.15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중도금 (1차 기성)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40%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₩180,000,000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상세설계 완료 및 프로토타입·단위모듈 공정률 70% 달성 검수 시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2026.08.20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잔금 (준공금)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₩135,000,000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통합/UAT 합격, 산출물 전수 납품, 최종검수확인서 및 하자보증증권 제출 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2026.11.10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100%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₩450,000,000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세금계산서 청구 후 현금(계좌이체) 지급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-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제3조 (지식재산권 귀속 및 AI 토큰 실비 특약)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본 용역 수행 결과로 발생한 맞춤 개발 산출물(애플리케이션 코드, 화면설계서, DB 스키마)의 지식재산권은 '갑'과 '을'이 공동 소유한다. 단, '을'이 기존에 보유한 SyncSeries 코어 프레임워크의 원천 저작권은 '을'에게 귀속되며 '갑'에게 영구 비독점적 사용권을 부여한다.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운영 단계에서 발생하는 상용 LLM(OpenAI, Anthropic) 및 OCR API 호출 토큰 비용은 '갑'의 법인 클라우드 계정에 직접 귀속되는 실비 항목으로 본 용역 대금과 별도로 정산한다.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'을'의 귀책사유로 납기를 지연한 경우 지체 1일당 계약금액의 1,000분의 0.75(0.075%)를 지체상금으로 부과하되, '갑'의 인프라 제공 지연 등 면책 사유 기간은 산입하지 아니한다.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01일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발주자 (갑)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(서울시 용산구 한강대로 100)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최 도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계약상대자 (을)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(서울시 금천구 가산디지털1로 205)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