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color w:val="2563EB"/>
          <w:sz w:val="17"/>
        </w:rPr>
        <w:t>[엠파시 엔터프라이즈 표준 사업관리 서식] 문서번호: EMP-DOC-P3-03 | 사업명: 한빛글로벌 SyncFlow AI 시스템 구축</w:t>
      </w:r>
    </w:p>
    <w:p>
      <w:r>
        <w:rPr>
          <w:rFonts w:ascii="맑은 고딕" w:hAnsi="맑은 고딕" w:eastAsia="맑은 고딕"/>
          <w:b/>
          <w:color w:val="0F172A"/>
          <w:sz w:val="36"/>
        </w:rPr>
        <w:t>과업 변경 요청서 (Change Request Form)</w:t>
      </w:r>
    </w:p>
    <w:p>
      <w:r>
        <w:rPr>
          <w:rFonts w:ascii="맑은 고딕" w:hAnsi="맑은 고딕" w:eastAsia="맑은 고딕"/>
          <w:b w:val="0"/>
          <w:color w:val="475569"/>
          <w:sz w:val="21"/>
        </w:rPr>
        <w:t>공정위·표준원 구매계약·기술규격 가이드라인 일부 개정에 따른 영문·중문 글로벌 수출 계약조항 검증 룰셋 추가 합의서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4896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상세 내용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CR 관리 번호</w:t>
            </w:r>
          </w:p>
        </w:tc>
        <w:tc>
          <w:tcPr>
            <w:tcW w:type="dxa" w:w="48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CR-2026-003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요청 일자 / 부서</w:t>
            </w:r>
          </w:p>
        </w:tc>
        <w:tc>
          <w:tcPr>
            <w:tcW w:type="dxa" w:w="489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2026년 08월 18일 / 주식회사 한빛글로벌 글로벌구매조달팀 및 규제검증팀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요청자 성명</w:t>
            </w:r>
          </w:p>
        </w:tc>
        <w:tc>
          <w:tcPr>
            <w:tcW w:type="dxa" w:w="48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윤서연 팀장 (02-6000-1120 / sy.yoon@hanbitglobal.com)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변경 유형</w:t>
            </w:r>
          </w:p>
        </w:tc>
        <w:tc>
          <w:tcPr>
            <w:tcW w:type="dxa" w:w="489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[✓] 신규 법령·업무 규칙 추가  [ ] 기존 화면 변경  [ ] 기간계 인터페이스 변경</w:t>
            </w:r>
          </w:p>
        </w:tc>
      </w:tr>
    </w:tbl>
    <w:p/>
    <w:p>
      <w:r>
        <w:rPr>
          <w:rFonts w:ascii="맑은 고딕" w:hAnsi="맑은 고딕" w:eastAsia="맑은 고딕"/>
          <w:b/>
          <w:color w:val="1B365D"/>
          <w:sz w:val="25"/>
        </w:rPr>
        <w:t>1. 과업 변경 요청 상세 내역 (As-Is vs To-Be)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4896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상세 내용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변경 배경 및 사유</w:t>
            </w:r>
          </w:p>
        </w:tc>
        <w:tc>
          <w:tcPr>
            <w:tcW w:type="dxa" w:w="48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2026년 8월 공정위·표준원 수출용 구매계약·기술규격 지침 개정 및 북미(IATF OTC)·중국(RoHS) 동시 출시 조달프로젝트 확대로 인해 국문 검증 외에 영문 금지표현 20개 패턴의 동시 검출 기능 추가 요청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변경 전 사양 (As-Is)</w:t>
            </w:r>
          </w:p>
        </w:tc>
        <w:tc>
          <w:tcPr>
            <w:tcW w:type="dxa" w:w="489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국문 계약·기술규격 금지/주의 표현 100대 룰셋 및 국문 공정위·표준원 가이드라인 RAG 검색만 수행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변경 후 사양 (To-Be)</w:t>
            </w:r>
          </w:p>
        </w:tc>
        <w:tc>
          <w:tcPr>
            <w:tcW w:type="dxa" w:w="48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영문 필수 독소조항 정규식 20건 추가 등록(tb_compliance_rule 다국어 컬럼 확장) 및 검증 결과 화면 내 영문 표준수정조항 병기 옵션 추가</w:t>
            </w:r>
          </w:p>
        </w:tc>
      </w:tr>
    </w:tbl>
    <w:p/>
    <w:p>
      <w:r>
        <w:rPr>
          <w:rFonts w:ascii="맑은 고딕" w:hAnsi="맑은 고딕" w:eastAsia="맑은 고딕"/>
          <w:b/>
          <w:color w:val="1B365D"/>
          <w:sz w:val="25"/>
        </w:rPr>
        <w:t>2. 기술 영향도 및 소요 공수(M/D) 산정 내역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영향 영역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수정 대상 산출물 및 모듈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세부 작업 내역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소요 공수</w:t>
            </w:r>
          </w:p>
        </w:tc>
      </w:tr>
      <w:tr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데이터베이스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tb_compliance_rule, EMP_DEG_080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lang_code 컬럼 및 영문 정규식 패턴 20건 시드 데이터 추가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1.0 M/D</w:t>
            </w:r>
          </w:p>
        </w:tc>
      </w:tr>
      <w:tr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AI 추론 파이프라인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EMP_EXE_020 (3단계 프롬프트)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영문 규격·계약 검출 시 영문 대체 표현(Alternative Copy) JSON 필드 추가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2.0 M/D</w:t>
            </w:r>
          </w:p>
        </w:tc>
      </w:tr>
      <w:tr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프론트엔드 UI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UI-FO-009 (검증결과 상세), UI-BO-001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언어 필터(KO/EN) 토글 스위치 및 다국어 룰셋 배지 표시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1.5 M/D</w:t>
            </w:r>
          </w:p>
        </w:tc>
      </w:tr>
      <w:tr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통합 테스트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EMP_TST_050 (골든셋 검증)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영문 검증 테스트 케이스 5건 추가 및 회귀 테스트 수행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1.0 M/D</w:t>
            </w:r>
          </w:p>
        </w:tc>
      </w:tr>
      <w:tr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합계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총 4개 영역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총 소요 공수 5.5 M/D (예비 버퍼 내 일정 수용 합의)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5.5 M/D</w:t>
            </w:r>
          </w:p>
        </w:tc>
      </w:tr>
    </w:tbl>
    <w:p/>
    <w:p>
      <w:r>
        <w:rPr>
          <w:rFonts w:ascii="맑은 고딕" w:hAnsi="맑은 고딕" w:eastAsia="맑은 고딕"/>
          <w:b/>
          <w:color w:val="1B365D"/>
          <w:sz w:val="25"/>
        </w:rPr>
        <w:t>3. 변경 검증 결과 및 합의 사항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1. 본 변경 요청(5.5 M/D)은 기존 예비 과업이었던 '저우선순위 통계 차트 1종(해외 지사별 오프라인 인쇄물 집계)'과 1:1 공수 상계(Swap) 방식으로 처리하여 총 계약금액 및 최종 준공일(2026.10.31)의 변동 없이 반영하기로 상호 합의함.</w:t>
      </w:r>
    </w:p>
    <w:p>
      <w:pPr>
        <w:jc w:val="right"/>
      </w:pPr>
      <w:r>
        <w:rPr>
          <w:rFonts w:ascii="맑은 고딕" w:hAnsi="맑은 고딕" w:eastAsia="맑은 고딕"/>
          <w:b/>
          <w:color w:val="0F172A"/>
          <w:sz w:val="21"/>
        </w:rPr>
        <w:t>확정 및 서명일자: 2026년 08월 21일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소속 기관 및 부서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직급 / 성명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서명 / 날인</w:t>
            </w:r>
          </w:p>
        </w:tc>
      </w:tr>
      <w:tr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변경 요청자 (발주처)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주식회사 한빛글로벌 규제검증팀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팀장 윤 서 연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(승인 완료)</w:t>
            </w:r>
          </w:p>
        </w:tc>
      </w:tr>
      <w:tr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영향도 검토 (수행사)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주식회사 엠파시 AI아키텍처실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수석 강 동 현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(검토 완료)</w:t>
            </w:r>
          </w:p>
        </w:tc>
      </w:tr>
      <w:tr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변경 합의 (수행사 PM)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주식회사 엠파시 엔터프라이즈사업부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수석 박 진 우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(합의 완료)</w:t>
            </w:r>
          </w:p>
        </w:tc>
      </w:tr>
    </w:tbl>
    <w:p/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주식회사 엠파시 (Empasy Inc.)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