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EMP-DOC-P1-01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소프트웨어 개발 용역 표준계약서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주식회사 한빛글로벌 SyncGuard AI 시스템 구축 용역 계약 일반조건 및 특약사항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건명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번호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HB-IT-2026-0042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금액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일금 사억오천만원정 (₩450,000,000, 부가가치세 포함)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기간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05월 01일 ~ 2026년 10월 31일 (총 6개월)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하자담보책임기간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최종 검수 완료일 익일로부터 1년간 (하자보수보증금율 5%)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제1조 (계약의 목적 및 과업 범위)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발주자 주식회사 한빛글로벌(이하 '갑')과 계약상대자 주식회사 엠파시(이하 '을')는 표시·광고 규제 심의 자동화를 위한 「SyncGuard AI 시스템」을 구축함에 있어 상호 권리와 의무를 규정한다. 세부 과업 범위는 제안요청서(RFP), 기술제안서 및 승인된 사업수행계획서(EMP_INT_010)에 따른다.</w:t>
      </w:r>
    </w:p>
    <w:p>
      <w:r>
        <w:rPr>
          <w:rFonts w:ascii="맑은 고딕" w:hAnsi="맑은 고딕" w:eastAsia="맑은 고딕"/>
          <w:b/>
          <w:color w:val="1B365D"/>
          <w:sz w:val="25"/>
        </w:rPr>
        <w:t>제2조 (계약대금의 지급 조건 및 시기)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지급 구분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지급 비율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지급 금액 (VAT 포함)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지급 조건 및 증빙 서류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예정 시기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선금 (착수금)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₩135,000,000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계약 체결 후 착수계 및 선금보증보험증권 제출 후 14일 이내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2026.05.15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중도금 (1차 기성)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40%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₩180,000,000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상세설계 완료 및 프로토타입·단위모듈 공정률 70% 달성 검수 시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2026.08.20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잔금 (준공금)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₩135,000,000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통합/UAT 합격, 산출물 전수 납품, 최종검수확인서 및 하자보증증권 제출 시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2026.11.10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합계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100%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₩450,000,000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세금계산서 청구 후 현금(계좌이체) 지급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-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제3조 (지식재산권 귀속 및 AI 토큰 실비 특약)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본 용역 수행 결과로 발생한 맞춤 개발 산출물(애플리케이션 코드, 화면설계서, DB 스키마)의 지식재산권은 '갑'과 '을'이 공동 소유한다. 단, '을'이 기존에 보유한 SyncSeries 코어 프레임워크의 원천 저작권은 '을'에게 귀속되며 '갑'에게 영구 비독점적 사용권을 부여한다.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운영 단계에서 발생하는 상용 LLM(OpenAI, Anthropic) 및 OCR API 호출 토큰 비용은 '갑'의 법인 클라우드 계정에 직접 귀속되는 실비 항목으로 본 용역 대금과 별도로 정산한다.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'을'의 귀책사유로 납기를 지연한 경우 지체 1일당 계약금액의 1,000분의 0.75(0.075%)를 지체상금으로 부과하되, '갑'의 인프라 제공 지연 등 면책 사유 기간은 산입하지 아니한다.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05월 01일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발주자 (갑)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(서울시 용산구 한강대로 100)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최 도 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(법인인감 날인)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계약상대자 (을)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(서울시 금천구 가산디지털1로 205)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김 창 석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(법인인감 날인)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